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 Estate Dispute Case No. 125 – Riyadh Court</w:t>
      </w:r>
    </w:p>
    <w:p>
      <w:r>
        <w:t>Parties: Claimant: Ahmed Al-Fahad | Defendant: Khalid Al-Saleh</w:t>
      </w:r>
    </w:p>
    <w:p>
      <w:r>
        <w:t>Court: Riyadh General Court</w:t>
      </w:r>
    </w:p>
    <w:p>
      <w:r>
        <w:t>Presiding Judge: Judge Abdullah Al-Mansour</w:t>
      </w:r>
    </w:p>
    <w:p>
      <w:r>
        <w:t>Filing Date: 2025-01-18</w:t>
      </w:r>
    </w:p>
    <w:p>
      <w:r>
        <w:t>Next Hearing Date: 2025-09-14</w:t>
      </w:r>
    </w:p>
    <w:p/>
    <w:p>
      <w:r>
        <w:t>This judgment relates to Case No. 125 of the year 2025, heard before the Riyadh General Court.</w:t>
        <w:br/>
        <w:br/>
        <w:t>The claimant submitted a notarized sale contract dated March 12, 2019. The court ruled in favor of the claimant and ordered eviction.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