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44"/>
          <w:szCs w:val="44"/>
        </w:rPr>
        <w:t xml:space="preserve">BUSINESS REQUIREMENTS DOCUMENT</w:t>
      </w:r>
    </w:p>
    <w:p>
      <w:pPr>
        <w:spacing w:after="0" w:before="120"/>
        <w:jc w:val="center"/>
      </w:pPr>
      <w:r>
        <w:rPr>
          <w:b/>
          <w:bCs/>
          <w:color w:val="2E75B6"/>
          <w:sz w:val="30"/>
          <w:szCs w:val="30"/>
        </w:rPr>
        <w:t xml:space="preserve">Agentic Multi-Product Client Onboarding Platform</w:t>
      </w:r>
    </w:p>
    <w:p>
      <w:pPr>
        <w:spacing w:after="0" w:before="80"/>
        <w:jc w:val="center"/>
      </w:pPr>
      <w:r>
        <w:rPr>
          <w:i/>
          <w:iCs/>
          <w:color w:val="595959"/>
          <w:sz w:val="24"/>
          <w:szCs w:val="24"/>
        </w:rPr>
        <w:t xml:space="preserve">Parallel Onboarding across Retail/Deposit, Loans, and Wealth/Mortgage</w:t>
      </w:r>
    </w:p>
    <w:p>
      <w:pPr>
        <w:spacing w:after="0" w:before="600"/>
        <w:jc w:val="center"/>
      </w:pPr>
      <w:r>
        <w:rPr>
          <w:color w:val="595959"/>
          <w:sz w:val="22"/>
          <w:szCs w:val="22"/>
        </w:rPr>
        <w:t xml:space="preserve">Regulatory regime: United States (BSA / FinCEN / USA PATRIOT Act / GLBA)</w:t>
      </w:r>
    </w:p>
    <w:p>
      <w:pPr>
        <w:spacing w:after="0" w:before="1200"/>
        <w:jc w:val="center"/>
      </w:pPr>
      <w:r>
        <w:rPr>
          <w:color w:val="595959"/>
          <w:sz w:val="22"/>
          <w:szCs w:val="22"/>
        </w:rPr>
        <w:t xml:space="preserve">Version 1.0  |  Draft for Review  |  June 2026</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Attribute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Detail</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Document title</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BRD — Agentic Multi-Product Client Onboarding Platform</w:t>
            </w:r>
          </w:p>
        </w:tc>
      </w:tr>
      <w:tr>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Version</w:t>
            </w:r>
          </w:p>
        </w:tc>
        <w:tc>
          <w:tcPr>
            <w:tcW w:type="dxa" w:w="6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1.0 (Draft)</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Date</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June 2026</w:t>
            </w:r>
          </w:p>
        </w:tc>
      </w:tr>
      <w:tr>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Author / Owner</w:t>
            </w:r>
          </w:p>
        </w:tc>
        <w:tc>
          <w:tcPr>
            <w:tcW w:type="dxa" w:w="6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Business Analysis — Client Onboarding Program</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Status</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Draft for stakeholder review</w:t>
            </w:r>
          </w:p>
        </w:tc>
      </w:tr>
      <w:tr>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Distribution</w:t>
            </w:r>
          </w:p>
        </w:tc>
        <w:tc>
          <w:tcPr>
            <w:tcW w:type="dxa" w:w="6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Product, Engineering, Compliance/BSA, Operations, Risk, Legal</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Regulatory scope</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United States — federal banking &amp; securities regulation</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The bank onboards clients across multiple product lines — Retail/Deposit accounts, Loans, and Wealth/Mortgage — each carrying its own documentation set, approval path, risk checks, and service-level expectations. Today these journeys typically run sequentially or in operational silos: a client supplies overlapping documents more than once, a delay in one product stalls the others, and there is no single view of overall onboarding progress.</w:t>
      </w:r>
    </w:p>
    <w:p>
      <w:pPr>
        <w:spacing w:after="120"/>
      </w:pPr>
      <w:r>
        <w:t xml:space="preserve">This document defines the business requirements for an agentic client onboarding platform that orchestrates several product onboardings in parallel for the same client. Shared documents are collected once and reused across products; product-specific documents and workflows run independently. Autonomous software agents drive each journey end to end — collecting and validating documents, running compliance and credit checks, following up with clients and internal teams, and escalating exceptions to humans at defined checkpoints.</w:t>
      </w:r>
    </w:p>
    <w:p>
      <w:pPr>
        <w:spacing w:after="120"/>
      </w:pPr>
      <w:r>
        <w:t xml:space="preserve">The defining capability is “first-to-complete goes live”: the first product whose onboarding satisfies all requirements is activated immediately, delivering value to the client without waiting on slower products, while agents continue working the remaining products in the background until each is live or formally exited.</w:t>
      </w:r>
    </w:p>
    <w:p>
      <w:pPr>
        <w:spacing w:after="120"/>
      </w:pPr>
      <w:r>
        <w:t xml:space="preserve">Expected business value: materially shorter time-to-first-product, higher straight-through processing, reduced document re-submission, lower onboarding abandonment, and a continuous, auditable compliance trail aligned to US regulatory obligations.</w:t>
      </w:r>
    </w:p>
    <w:p>
      <w:pPr>
        <w:pStyle w:val="Heading1"/>
      </w:pPr>
      <w:r>
        <w:t xml:space="preserve">2. Business Objectives &amp; Success Metrics</w:t>
      </w:r>
    </w:p>
    <w:p>
      <w:pPr>
        <w:spacing w:after="120"/>
      </w:pPr>
      <w:r>
        <w:t xml:space="preserve">The platform is designed to deliver measurable outcomes against the objectives below. Baselines are to be confirmed during discovery; targets are directional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960"/>
        <w:gridCol w:w="18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Objective</w:t>
            </w:r>
          </w:p>
        </w:tc>
        <w:tc>
          <w:tcPr>
            <w:tcW w:type="dxa" w:w="39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Success Metric (KPI)</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Target (v1)</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OBJ-1</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Accelerate time to first live product</w:t>
            </w:r>
          </w:p>
        </w:tc>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Median time from application start to first product activation</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 1 business day for STP-eligible clients</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OBJ-2</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Enable true parallel onboarding</w:t>
            </w:r>
          </w:p>
        </w:tc>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of multi-product clients with products processed concurrently</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90%</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OBJ-3</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Eliminate duplicate document submission</w:t>
            </w:r>
          </w:p>
        </w:tc>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Avg. shared documents re-requested per client</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0 (collect-once, reuse-many)</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OBJ-4</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Increase straight-through processing</w:t>
            </w:r>
          </w:p>
        </w:tc>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of products onboarded with no manual touch</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60%</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OBJ-5</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Reduce onboarding abandonment</w:t>
            </w:r>
          </w:p>
        </w:tc>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Drop-off rate across the onboarding funnel</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 30% reduction vs. baseline</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OBJ-6</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Strengthen compliance assurance</w:t>
            </w:r>
          </w:p>
        </w:tc>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of onboardings with complete, auditable agent decision log</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100%</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OBJ-7</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Reduce operational cost per onboarding</w:t>
            </w:r>
          </w:p>
        </w:tc>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Fully-loaded cost per onboarded product</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 25% reduction vs. baseline</w:t>
            </w:r>
          </w:p>
        </w:tc>
      </w:tr>
    </w:tbl>
    <w:p>
      <w:pPr>
        <w:pStyle w:val="Heading1"/>
      </w:pPr>
      <w:r>
        <w:t xml:space="preserve">3. Scope</w:t>
      </w:r>
    </w:p>
    <w:p>
      <w:pPr>
        <w:pStyle w:val="Heading2"/>
      </w:pPr>
      <w:r>
        <w:t xml:space="preserve">3.1 In Scope</w:t>
      </w:r>
    </w:p>
    <w:p>
      <w:pPr>
        <w:pStyle w:val="ListParagraph"/>
        <w:numPr>
          <w:ilvl w:val="0"/>
          <w:numId w:val="2"/>
        </w:numPr>
        <w:spacing w:after="60"/>
      </w:pPr>
      <w:r>
        <w:t xml:space="preserve">Client onboarding for three product lines: Retail/Deposit accounts, Loans (consumer/secured), and Wealth/Mortgage (wealth management accounts and mortgage origination intake).</w:t>
      </w:r>
    </w:p>
    <w:p>
      <w:pPr>
        <w:pStyle w:val="ListParagraph"/>
        <w:numPr>
          <w:ilvl w:val="0"/>
          <w:numId w:val="2"/>
        </w:numPr>
        <w:spacing w:after="60"/>
      </w:pPr>
      <w:r>
        <w:t xml:space="preserve">Shared-core document management with reuse across products (collect-once, apply-many).</w:t>
      </w:r>
    </w:p>
    <w:p>
      <w:pPr>
        <w:pStyle w:val="ListParagraph"/>
        <w:numPr>
          <w:ilvl w:val="0"/>
          <w:numId w:val="2"/>
        </w:numPr>
        <w:spacing w:after="60"/>
      </w:pPr>
      <w:r>
        <w:t xml:space="preserve">Per-product configurable onboarding workflows, rules, and SLAs.</w:t>
      </w:r>
    </w:p>
    <w:p>
      <w:pPr>
        <w:pStyle w:val="ListParagraph"/>
        <w:numPr>
          <w:ilvl w:val="0"/>
          <w:numId w:val="2"/>
        </w:numPr>
        <w:spacing w:after="60"/>
      </w:pPr>
      <w:r>
        <w:t xml:space="preserve">Agentic orchestration engine running multiple product onboardings in parallel for one client.</w:t>
      </w:r>
    </w:p>
    <w:p>
      <w:pPr>
        <w:pStyle w:val="ListParagraph"/>
        <w:numPr>
          <w:ilvl w:val="0"/>
          <w:numId w:val="2"/>
        </w:numPr>
        <w:spacing w:after="60"/>
      </w:pPr>
      <w:r>
        <w:t xml:space="preserve">“First-to-complete goes live” activation with continued background processing of remaining products.</w:t>
      </w:r>
    </w:p>
    <w:p>
      <w:pPr>
        <w:pStyle w:val="ListParagraph"/>
        <w:numPr>
          <w:ilvl w:val="0"/>
          <w:numId w:val="2"/>
        </w:numPr>
        <w:spacing w:after="60"/>
      </w:pPr>
      <w:r>
        <w:t xml:space="preserve">KYC/CIP, CDD/beneficial-ownership, OFAC sanctions screening, and identity verification.</w:t>
      </w:r>
    </w:p>
    <w:p>
      <w:pPr>
        <w:pStyle w:val="ListParagraph"/>
        <w:numPr>
          <w:ilvl w:val="0"/>
          <w:numId w:val="2"/>
        </w:numPr>
        <w:spacing w:after="60"/>
      </w:pPr>
      <w:r>
        <w:t xml:space="preserve">Credit and affordability checks for Loans and Mortgage.</w:t>
      </w:r>
    </w:p>
    <w:p>
      <w:pPr>
        <w:pStyle w:val="ListParagraph"/>
        <w:numPr>
          <w:ilvl w:val="0"/>
          <w:numId w:val="2"/>
        </w:numPr>
        <w:spacing w:after="60"/>
      </w:pPr>
      <w:r>
        <w:t xml:space="preserve">Client self-service portal, notifications, e-signature, and human-in-the-loop review queues.</w:t>
      </w:r>
    </w:p>
    <w:p>
      <w:pPr>
        <w:pStyle w:val="ListParagraph"/>
        <w:numPr>
          <w:ilvl w:val="0"/>
          <w:numId w:val="2"/>
        </w:numPr>
        <w:spacing w:after="60"/>
      </w:pPr>
      <w:r>
        <w:t xml:space="preserve">End-to-end audit trail and explainability for every automated decision and action.</w:t>
      </w:r>
    </w:p>
    <w:p>
      <w:pPr>
        <w:pStyle w:val="Heading2"/>
      </w:pPr>
      <w:r>
        <w:t xml:space="preserve">3.2 Out of Scope (v1)</w:t>
      </w:r>
    </w:p>
    <w:p>
      <w:pPr>
        <w:pStyle w:val="ListParagraph"/>
        <w:numPr>
          <w:ilvl w:val="0"/>
          <w:numId w:val="2"/>
        </w:numPr>
        <w:spacing w:after="60"/>
      </w:pPr>
      <w:r>
        <w:t xml:space="preserve">Credit Card onboarding (candidate for a later phase; the document/workflow model is designed to extend to it).</w:t>
      </w:r>
    </w:p>
    <w:p>
      <w:pPr>
        <w:pStyle w:val="ListParagraph"/>
        <w:numPr>
          <w:ilvl w:val="0"/>
          <w:numId w:val="2"/>
        </w:numPr>
        <w:spacing w:after="60"/>
      </w:pPr>
      <w:r>
        <w:t xml:space="preserve">Core product servicing after activation (transactions, statements, collections).</w:t>
      </w:r>
    </w:p>
    <w:p>
      <w:pPr>
        <w:pStyle w:val="ListParagraph"/>
        <w:numPr>
          <w:ilvl w:val="0"/>
          <w:numId w:val="2"/>
        </w:numPr>
        <w:spacing w:after="60"/>
      </w:pPr>
      <w:r>
        <w:t xml:space="preserve">Loan/mortgage underwriting decisioning engine and pricing (platform integrates with, but does not replace, existing decisioning).</w:t>
      </w:r>
    </w:p>
    <w:p>
      <w:pPr>
        <w:pStyle w:val="ListParagraph"/>
        <w:numPr>
          <w:ilvl w:val="0"/>
          <w:numId w:val="2"/>
        </w:numPr>
        <w:spacing w:after="60"/>
      </w:pPr>
      <w:r>
        <w:t xml:space="preserve">Marketing, lead generation, and pre-application acquisition journeys.</w:t>
      </w:r>
    </w:p>
    <w:p>
      <w:pPr>
        <w:pStyle w:val="ListParagraph"/>
        <w:numPr>
          <w:ilvl w:val="0"/>
          <w:numId w:val="2"/>
        </w:numPr>
        <w:spacing w:after="60"/>
      </w:pPr>
      <w:r>
        <w:t xml:space="preserve">Migration of historical/legacy onboarding records.</w:t>
      </w:r>
    </w:p>
    <w:p>
      <w:pPr>
        <w:pStyle w:val="Heading2"/>
      </w:pPr>
      <w:r>
        <w:t xml:space="preserve">3.3 Phasing</w:t>
      </w:r>
    </w:p>
    <w:p>
      <w:pPr>
        <w:spacing w:after="120"/>
      </w:pPr>
      <w:r>
        <w:t xml:space="preserve">Phase 1 delivers Retail/Deposit plus shared-core document and orchestration foundations. Phase 2 adds Loans (credit + ECOA/Reg B). Phase 3 adds Wealth/Mortgage (TRID intake, SEC/FINRA suitability). Phase 4 extends the model to Credit Cards. See Section 16 for the roadmap.</w:t>
      </w:r>
    </w:p>
    <w:p>
      <w:pPr>
        <w:pStyle w:val="Heading1"/>
      </w:pPr>
      <w:r>
        <w:t xml:space="preserve">4. Stakeholders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Persona / Stakeholder</w:t>
            </w:r>
          </w:p>
        </w:tc>
        <w:tc>
          <w:tcPr>
            <w:tcW w:type="dxa" w:w="3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Role in Onboarding</w:t>
            </w:r>
          </w:p>
        </w:tc>
        <w:tc>
          <w:tcPr>
            <w:tcW w:type="dxa" w:w="3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Key Needs</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Prospective client</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Submits applications and documents across products</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One journey, no duplicate uploads, clear status, fast activation</w:t>
            </w:r>
          </w:p>
        </w:tc>
      </w:tr>
      <w:t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Relationship Manager (RM)</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Owns the client relationship; handles wealth/complex cases</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Single client view, exception alerts, ability to intervene</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Onboarding Operations analyst</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Works review queues and exceptions</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Prioritized work queue, context, audit-ready notes</w:t>
            </w:r>
          </w:p>
        </w:tc>
      </w:tr>
      <w:t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BSA/AML Compliance officer</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Owns KYC/CDD program and approvals</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Risk-based controls, EDD triggers, full audit trail</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Credit/Underwriting analyst</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Reviews loan/mortgage credit and affordability</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Bureau data, affordability outputs, adverse-action support</w:t>
            </w:r>
          </w:p>
        </w:tc>
      </w:tr>
      <w:t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Risk &amp; Audit</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Oversight and assurance</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Explainable decisions, immutable logs, reporting</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Platform/Engineering</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Builds and operates the platform &amp; agents</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Clear NFRs, integration contracts, observability</w:t>
            </w:r>
          </w:p>
        </w:tc>
      </w:tr>
    </w:tbl>
    <w:p>
      <w:pPr>
        <w:pStyle w:val="Heading1"/>
      </w:pPr>
      <w:r>
        <w:t xml:space="preserve">5. Current State vs. Future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Dimension</w:t>
            </w:r>
          </w:p>
        </w:tc>
        <w:tc>
          <w:tcPr>
            <w:tcW w:type="dxa" w:w="36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Current State</w:t>
            </w:r>
          </w:p>
        </w:tc>
        <w:tc>
          <w:tcPr>
            <w:tcW w:type="dxa" w:w="38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Future State (Agentic)</w:t>
            </w:r>
          </w:p>
        </w:tc>
      </w:tr>
      <w:tr>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Sequencing</w:t>
            </w:r>
          </w:p>
        </w:tc>
        <w:tc>
          <w:tcPr>
            <w:tcW w:type="dxa" w:w="3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Products onboarded sequentially or in silos</w:t>
            </w:r>
          </w:p>
        </w:tc>
        <w:tc>
          <w:tcPr>
            <w:tcW w:type="dxa" w:w="38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Multiple products onboarded in parallel for one client</w:t>
            </w:r>
          </w:p>
        </w:tc>
      </w:tr>
      <w:tr>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Documents</w:t>
            </w:r>
          </w:p>
        </w:tc>
        <w:tc>
          <w:tcPr>
            <w:tcW w:type="dxa" w:w="3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Same document requested per product</w:t>
            </w:r>
          </w:p>
        </w:tc>
        <w:tc>
          <w:tcPr>
            <w:tcW w:type="dxa" w:w="38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Shared-core collected once, reused across products</w:t>
            </w:r>
          </w:p>
        </w:tc>
      </w:tr>
      <w:tr>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Go-live</w:t>
            </w:r>
          </w:p>
        </w:tc>
        <w:tc>
          <w:tcPr>
            <w:tcW w:type="dxa" w:w="3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Client waits for the slowest product</w:t>
            </w:r>
          </w:p>
        </w:tc>
        <w:tc>
          <w:tcPr>
            <w:tcW w:type="dxa" w:w="38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First product to complete goes live immediately</w:t>
            </w:r>
          </w:p>
        </w:tc>
      </w:tr>
      <w:tr>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Follow-ups</w:t>
            </w:r>
          </w:p>
        </w:tc>
        <w:tc>
          <w:tcPr>
            <w:tcW w:type="dxa" w:w="3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Manual, inconsistent reminders</w:t>
            </w:r>
          </w:p>
        </w:tc>
        <w:tc>
          <w:tcPr>
            <w:tcW w:type="dxa" w:w="38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Agents follow up autonomously on a schedule with escalation</w:t>
            </w:r>
          </w:p>
        </w:tc>
      </w:tr>
      <w:tr>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Visibility</w:t>
            </w:r>
          </w:p>
        </w:tc>
        <w:tc>
          <w:tcPr>
            <w:tcW w:type="dxa" w:w="3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Fragmented per-product status</w:t>
            </w:r>
          </w:p>
        </w:tc>
        <w:tc>
          <w:tcPr>
            <w:tcW w:type="dxa" w:w="38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Unified multi-product progress view</w:t>
            </w:r>
          </w:p>
        </w:tc>
      </w:tr>
      <w:tr>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Compliance evidence</w:t>
            </w:r>
          </w:p>
        </w:tc>
        <w:tc>
          <w:tcPr>
            <w:tcW w:type="dxa" w:w="3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Manual assembly at audit time</w:t>
            </w:r>
          </w:p>
        </w:tc>
        <w:tc>
          <w:tcPr>
            <w:tcW w:type="dxa" w:w="38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Continuous, automatic, immutable decision log</w:t>
            </w:r>
          </w:p>
        </w:tc>
      </w:tr>
    </w:tbl>
    <w:p>
      <w:pPr>
        <w:pStyle w:val="Heading1"/>
      </w:pPr>
      <w:r>
        <w:t xml:space="preserve">6. Functional Requirements</w:t>
      </w:r>
    </w:p>
    <w:p>
      <w:pPr>
        <w:spacing w:after="120"/>
      </w:pPr>
      <w:r>
        <w:t xml:space="preserve">Each requirement carries a unique ID, description, MoSCoW priority (M=Must, S=Should, C=Could, W=Won’t for v1), and rationale.</w:t>
      </w:r>
    </w:p>
    <w:p>
      <w:pPr>
        <w:pStyle w:val="Heading2"/>
      </w:pPr>
      <w:r>
        <w:t xml:space="preserve">6.1 Document Management (Shared-Core + Product-Specific)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FR-DM-01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Maintain a document taxonomy distinguishing shared-core documents from product-specific documents.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Foundation for collect-once reuse</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FR-DM-02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Collect each shared-core document once and automatically apply it to all products that require it.</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Eliminates duplicate submission (OBJ-3)</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FR-DM-03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Detect and prevent re-requesting a document the client has already provided and that remains valid.</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Client experience; reduces drop-off</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FR-DM-04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Validate documents for completeness, legibility, type, and expiry; flag deficiencies automatically.</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Drives STP and data quality</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FR-DM-05</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Track document validity/expiry and re-request only when a document expires or is product-insufficient.</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Avoids stale KYC; minimizes friction</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FR-DM-06</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Support secure upload, capture, and storage with versioning of all client documents.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Evidence integrity and retention</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FR-DM-07</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Map every document to the requirement(s) it satisfies per product (traceability).</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Auditability and reuse logic</w:t>
            </w:r>
          </w:p>
        </w:tc>
      </w:tr>
    </w:tbl>
    <w:p>
      <w:pPr>
        <w:pStyle w:val="Heading2"/>
      </w:pPr>
      <w:r>
        <w:t xml:space="preserve">6.2 Configurable Per-Product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FR-WF-01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Configure distinct onboarding workflows per product (steps, rules, approvals, SLAs) without code changes.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Products differ; agility</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FR-WF-02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Define document, check, and approval requirements per product as configurable rule sets.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Product-specific compliance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FR-WF-03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Support conditional/branching steps driven by client attributes and risk tier.</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Risk-based onboarding</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FR-WF-04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Version workflows and apply the correct version for in-flight cases.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Change control</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FR-WF-05</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Define and track per-step and per-product SLAs with breach alerts.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Drives timeliness (OBJ-1)</w:t>
            </w:r>
          </w:p>
        </w:tc>
      </w:tr>
    </w:tbl>
    <w:p>
      <w:pPr>
        <w:pStyle w:val="Heading2"/>
      </w:pPr>
      <w:r>
        <w:t xml:space="preserve">6.3 Multi-Product Parallel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FR-OR-01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Initiate and run multiple product onboardings concurrently for a single client.</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Core platform capability (OBJ-2)</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FR-OR-02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Maintain a single client master record linking all in-flight product journeys.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Unified view; reuse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FR-OR-03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Share completed shared-core steps/results across product journeys in real time.</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Avoids rework</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FR-OR-04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Process products independently so a delay in one never blocks another.</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Decoupled journeys</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FR-OR-05</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Provide a unified, real-time multi-product onboarding status view to staff and clients.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Visibility (Section 5)</w:t>
            </w:r>
          </w:p>
        </w:tc>
      </w:tr>
    </w:tbl>
    <w:p>
      <w:pPr>
        <w:pStyle w:val="Heading2"/>
      </w:pPr>
      <w:r>
        <w:t xml:space="preserve">6.4 Agentic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FR-AG-01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Agents autonomously progress each onboarding through its workflow without manual prompting.</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Automation and STP</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FR-AG-02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Agents send context-aware follow-ups/reminders to clients for missing or deficient items on a configurable cadence.</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Reduces drop-off (OBJ-5)</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FR-AG-03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Agents validate documents and data, and reconcile shared data across products.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Quality and reuse</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FR-AG-04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Agents trigger and interpret compliance, identity, sanctions, and credit checks via integrations.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End-to-end automation</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FR-AG-05</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Agents detect exceptions and escalate to the correct human queue with full context.</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Human-in-the-loop safety</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FR-AG-06</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Agents respect configurable human-in-the-loop checkpoints and never auto-approve beyond authority limits.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Control and compliance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FR-AG-07</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Agents continue background follow-up on remaining products after a product goes live.</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Supports first-to-complete model</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FR-AG-08</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Every agent action and decision is logged with inputs, rationale, and outcome.</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Explainability/audit (OBJ-6)</w:t>
            </w:r>
          </w:p>
        </w:tc>
      </w:tr>
    </w:tbl>
    <w:p>
      <w:pPr>
        <w:pStyle w:val="Heading2"/>
      </w:pPr>
      <w:r>
        <w:t xml:space="preserve">6.5 First-to-Complete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FR-GL-01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Detect when a product satisfies all activation criteria and activate it independently.</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Defining capability</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FR-GL-02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Activate the first completed product without waiting on other products.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Faster value (OBJ-1)</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FR-GL-03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Continue onboarding remaining products after the first activation until each is live or exited.</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Background completion</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FR-GL-04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Notify client and staff on each product activation and on remaining outstanding items.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Transparency</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FR-GL-05</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Support formal “not proceeding” / decline closure for products that cannot complete, with reason capture.</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Clean lifecycle &amp; adverse-action</w:t>
            </w:r>
          </w:p>
        </w:tc>
      </w:tr>
    </w:tbl>
    <w:p>
      <w:pPr>
        <w:pStyle w:val="Heading2"/>
      </w:pPr>
      <w:r>
        <w:t xml:space="preserve">6.6 Client Portal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FR-CP-01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Provide a client self-service portal showing all products, outstanding items, and status.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Single client journey</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FR-CP-02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Allow secure document upload, e-signature, and consent capture from the portal.</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Self-service completion</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FR-CP-03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Send multi-channel notifications (email/SMS/in-app) for requests, reminders, and activations.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Engagement</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FR-CP-04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Display a single consolidated request when one document serves multiple products.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Reinforces collect-once</w:t>
            </w:r>
          </w:p>
        </w:tc>
      </w:tr>
    </w:tbl>
    <w:p>
      <w:pPr>
        <w:pStyle w:val="Heading2"/>
      </w:pPr>
      <w:r>
        <w:t xml:space="preserve">6.7 Audit, Logging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28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Pri.</w:t>
            </w:r>
          </w:p>
        </w:tc>
        <w:tc>
          <w:tcPr>
            <w:tcW w:type="dxa" w:w="2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FR-AU-01</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Maintain an immutable, timestamped audit trail of all events, decisions, and approvals.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Regulatory evidence</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FR-AU-02</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Capture human override/approval with identity, reason, and timestamp.</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Accountability</w:t>
            </w:r>
          </w:p>
        </w:tc>
      </w:tr>
      <w:tr>
        <w:tc>
          <w:tcPr>
            <w:tcW w:type="dxa" w:w="1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FR-AU-03</w:t>
            </w:r>
          </w:p>
        </w:tc>
        <w:tc>
          <w:tcPr>
            <w:tcW w:type="dxa" w:w="4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Provide operational and compliance dashboards and exportable reports.</w:t>
            </w:r>
          </w:p>
        </w:tc>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w:t>
            </w:r>
          </w:p>
        </w:tc>
        <w:tc>
          <w:tcPr>
            <w:tcW w:type="dxa" w:w="2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Oversight (OBJ-6)</w:t>
            </w:r>
          </w:p>
        </w:tc>
      </w:tr>
      <w:tr>
        <w:tc>
          <w:tcPr>
            <w:tcW w:type="dxa" w:w="1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FR-AU-04</w:t>
            </w:r>
          </w:p>
        </w:tc>
        <w:tc>
          <w:tcPr>
            <w:tcW w:type="dxa" w:w="4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Generate adverse-action records where a product is declined for credit reasons.</w:t>
            </w:r>
          </w:p>
        </w:tc>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2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FCRA/ECOA compliance</w:t>
            </w:r>
          </w:p>
        </w:tc>
      </w:tr>
    </w:tbl>
    <w:p>
      <w:pPr>
        <w:pStyle w:val="Heading1"/>
      </w:pPr>
      <w:r>
        <w:t xml:space="preserve">7. Agent Architecture (Conceptual)</w:t>
      </w:r>
    </w:p>
    <w:p>
      <w:pPr>
        <w:spacing w:after="120"/>
      </w:pPr>
      <w:r>
        <w:t xml:space="preserve">The platform is organized as a set of cooperating agents coordinated by an orchestrator. Agents operate per product journey but share the client master record and the shared-core document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Agent</w:t>
            </w:r>
          </w:p>
        </w:tc>
        <w:tc>
          <w:tcPr>
            <w:tcW w:type="dxa" w:w="4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Responsibility</w:t>
            </w:r>
          </w:p>
        </w:tc>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Human-in-the-Loop Checkpoint</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Orchestrator Agent</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Spawns and coordinates per-product journeys; shares shared-core results; manages parallel state and first-to-complete activation.</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Escalates cross-product conflicts</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Document Collection Agent</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Requests, ingests, deduplicates, and tracks documents; reuses shared-core across products.</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Routes ambiguous documents to ops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Validation Agent</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Checks completeness, legibility, expiry, and data consistency; reconciles shared data.</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Flags validation failures</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Compliance Agent</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Runs KYC/CIP, CDD/beneficial ownership, OFAC screening; assesses risk tier; triggers EDD.</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Compliance officer approves high-risk / EDD</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Credit Agent</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Orchestrates bureau pulls and affordability checks for Loans/Mortgage.</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Underwriter reviews referrals; adverse action</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Follow-up Agent</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Sends reminders and nudges on cadence; continues after first go-live for remaining products.</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Escalates non-response after thresholds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Activation Agent</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Confirms activation criteria and provisions the product in core banking.</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Final approval where required by policy</w:t>
            </w:r>
          </w:p>
        </w:tc>
      </w:tr>
    </w:tbl>
    <w:p>
      <w:pPr>
        <w:spacing w:after="120"/>
      </w:pPr>
      <w:r>
        <w:t xml:space="preserve">Hand-offs are event-driven: completion of a shared-core step publishes an event consumed by every dependent product journey, so shared work is performed once and applied many times. All agents write to the central decision log (FR-AU-01).</w:t>
      </w:r>
    </w:p>
    <w:p>
      <w:pPr>
        <w:pStyle w:val="Heading1"/>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ID</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Category</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Requirement</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NFR-01</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Security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Encryption in transit and at rest; role-based access control; least-privilege; secrets management for integrations.</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NFR-02</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Privacy</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Data minimization and purpose limitation; consent management; GLBA safeguards; CCPA/CPRA data-subject handling.</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NFR-03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Availability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Onboarding services target 99.9% availability; graceful degradation if a single integration is down.</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NFR-04</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Performance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Portal interactions &lt; 2s typical; document validation feedback within seconds of upload.</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NFR-05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Scalability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Scale to peak concurrent multi-product onboardings without SLA degradation.</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NFR-06</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Auditability</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All automated decisions explainable and reproducible from logged inputs.</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NFR-07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Resilience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Idempotent, retryable integration calls; no duplicate accounts on retry.</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NFR-08</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Data residency</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US data residency; retention per BSA (5 years post-relationship) and applicable rules.</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NFR-09</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Accessibility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Client portal meets WCAG 2.1 AA.</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NFR-10</w:t>
            </w:r>
          </w:p>
        </w:tc>
        <w:tc>
          <w:tcPr>
            <w:tcW w:type="dxa" w:w="1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Observability</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Centralized logging, metrics, and tracing across agents and integrations.</w:t>
            </w:r>
          </w:p>
        </w:tc>
      </w:tr>
    </w:tbl>
    <w:p>
      <w:pPr>
        <w:pStyle w:val="Heading1"/>
      </w:pPr>
      <w:r>
        <w:t xml:space="preserve">9. Compliance &amp; Regulatory Requirements (US)</w:t>
      </w:r>
    </w:p>
    <w:p>
      <w:pPr>
        <w:spacing w:after="120"/>
      </w:pPr>
      <w:r>
        <w:t xml:space="preserve">The platform must enforce, and produce evidence for, the obligations below. References are current as of June 2026 and must be confirmed with Compliance/Legal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Regulation / Rule</w:t>
            </w:r>
          </w:p>
        </w:tc>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Applies To</w:t>
            </w:r>
          </w:p>
        </w:tc>
        <w:tc>
          <w:tcPr>
            <w:tcW w:type="dxa" w:w="4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Onboarding Obligation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Bank Secrecy Act (BSA) / FinCEN</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All products</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AML program; risk-based CDD; recordkeeping; SAR/CTR support; 5-year retention.</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USA PATRIOT Act — CIP</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All products</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Verify identity (name, DOB, address, ID number) before/at account opening; maintain CIP records.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FinCEN CDD Rule (beneficial ownership)</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Legal-entity clients</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Identify/verify beneficial owners (≥25%) + one control person. Note: FinCEN’s Feb 2026 exceptive relief removed re-verification at every new account for existing entity customers; verification anchors at initial onboarding. Confirm current treatment with Compliance.</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OFAC sanctions screening</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All products</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Screen all parties against sanctions/watchlists at onboarding and on update.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Gramm-Leach-Bliley Act (GLBA)</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All products</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Privacy notice; Safeguards Rule controls over client data.</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FCRA</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Loans, Mortgage</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Permissible-purpose credit pulls; adverse-action notices; accuracy/dispute handling.</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ECOA / Regulation B</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Loans, Mortgage</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Non-discrimination; notice of action within 30 days; reason for denial.</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TILA-RESPA (TRID)</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Mortgage</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Timely Loan Estimate and required disclosures during intake.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SEC / FINRA (Reg BI, Rule 2090 KYC, Rule 2111 suitability)</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Wealth</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Know-your-customer and suitability/best-interest obligations at account opening.</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CCPA / CPRA</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All products (CA residents)</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Consumer privacy rights, disclosures, and opt-out handling.</w:t>
            </w:r>
          </w:p>
        </w:tc>
      </w:tr>
    </w:tbl>
    <w:p>
      <w:pPr>
        <w:pStyle w:val="Heading1"/>
      </w:pPr>
      <w:r>
        <w:t xml:space="preserve">10.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Integration</w:t>
            </w:r>
          </w:p>
        </w:tc>
        <w:tc>
          <w:tcPr>
            <w:tcW w:type="dxa" w:w="4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Purpose</w:t>
            </w:r>
          </w:p>
        </w:tc>
        <w:tc>
          <w:tcPr>
            <w:tcW w:type="dxa" w:w="2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Example Providers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Core banking</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Account/product provisioning at activation; product master.</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FIS, Fiserv, Jack Henry, Finastra</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CRM</w:t>
            </w:r>
          </w:p>
        </w:tc>
        <w:tc>
          <w:tcPr>
            <w:tcW w:type="dxa" w:w="4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Client master, relationship context, RM workflows.</w:t>
            </w:r>
          </w:p>
        </w:tc>
        <w:tc>
          <w:tcPr>
            <w:tcW w:type="dxa" w:w="2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Salesforce Financial Services Cloud, MS Dynamics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Identity / KYC verification</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Identity proofing, document &amp; biometric verification, watchlist screening.</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LexisNexis, Socure, Jumio, Onfido</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Credit bureau</w:t>
            </w:r>
          </w:p>
        </w:tc>
        <w:tc>
          <w:tcPr>
            <w:tcW w:type="dxa" w:w="4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Credit reports/scores and affordability inputs for Loans/Mortgage.</w:t>
            </w:r>
          </w:p>
        </w:tc>
        <w:tc>
          <w:tcPr>
            <w:tcW w:type="dxa" w:w="2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Experian, Equifax, TransUnion</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E-signature</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Legally binding signatures and consents.</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DocuSign, Adobe Acrobat Sign</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Document storage / ECM</w:t>
            </w:r>
          </w:p>
        </w:tc>
        <w:tc>
          <w:tcPr>
            <w:tcW w:type="dxa" w:w="4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Secure, versioned document repository and retention.</w:t>
            </w:r>
          </w:p>
        </w:tc>
        <w:tc>
          <w:tcPr>
            <w:tcW w:type="dxa" w:w="2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Enterprise content store / cloud object storage</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Notifications</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Multi-channel client and staff messaging.</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Email / SMS / push provider</w:t>
            </w:r>
          </w:p>
        </w:tc>
      </w:tr>
    </w:tbl>
    <w:p>
      <w:pPr>
        <w:spacing w:after="120"/>
      </w:pPr>
      <w:r>
        <w:t xml:space="preserve">Integration requirements: each connector must be idempotent, retryable, and observable (NFR-07, NFR-10); failures must surface as exceptions to the relevant agent rather than silently stalling a journey.</w:t>
      </w:r>
    </w:p>
    <w:p>
      <w:pPr>
        <w:pStyle w:val="Heading1"/>
      </w:pPr>
      <w:r>
        <w:t xml:space="preserve">11. Data Requirements</w:t>
      </w:r>
    </w:p>
    <w:p>
      <w:pPr>
        <w:spacing w:after="120"/>
      </w:pPr>
      <w:r>
        <w:t xml:space="preserve">Core entities: Client (master), Product Journey (one per product per client), Document, Document Requirement (per product), Check/Decision, Agent Action/Event, and Audit Record. A single Client links to many Product Journeys; a single Document can satisfy many Document Requirements across journeys (the basis for collect-once reuse).</w:t>
      </w:r>
    </w:p>
    <w:p>
      <w:pPr>
        <w:pStyle w:val="Heading2"/>
      </w:pPr>
      <w:r>
        <w:t xml:space="preserve">11.1 Document Metadata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Attribute</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Description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Document ID</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Unique identifier for the stored document.</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Document type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Classified type (e.g., government photo ID, proof of address).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Scope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Shared-core or product-specific.</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Satisfies requirements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List of product requirement IDs this document fulfills.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Validity / expiry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Issue and expiry dates driving re-request logic.</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Verification status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Pending, validated, deficient, expired.</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Source &amp; version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Upload channel, capture time, version history.</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Retention class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Drives retention period (e.g., BSA 5-year).</w:t>
            </w:r>
          </w:p>
        </w:tc>
      </w:tr>
    </w:tbl>
    <w:p>
      <w:pPr>
        <w:pStyle w:val="Heading1"/>
      </w:pPr>
      <w:r>
        <w:t xml:space="preserve">12. Document Matrix (Shared-Core vs. Product-Specific)</w:t>
      </w:r>
    </w:p>
    <w:p>
      <w:pPr>
        <w:spacing w:after="120"/>
      </w:pPr>
      <w:r>
        <w:t xml:space="preserve">M = Mandatory, C = Conditional (risk- or case-dependent), — = Not required. Shared-core documents in the top block are collected once and reused across every product that requires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Document</w:t>
            </w:r>
          </w:p>
        </w:tc>
        <w:tc>
          <w:tcPr>
            <w:tcW w:type="dxa" w:w="13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Retail/Deposit</w:t>
            </w:r>
          </w:p>
        </w:tc>
        <w:tc>
          <w:tcPr>
            <w:tcW w:type="dxa" w:w="13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Loans</w:t>
            </w:r>
          </w:p>
        </w:tc>
        <w:tc>
          <w:tcPr>
            <w:tcW w:type="dxa" w:w="13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Mortgage</w:t>
            </w:r>
          </w:p>
        </w:tc>
        <w:tc>
          <w:tcPr>
            <w:tcW w:type="dxa" w:w="13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Wealth</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Government photo ID (shared-core)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Proof of address (shared-core)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SSN / TIN (shared-core)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KYC questionnaire (shared-core)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Beneficial ownership (entity clients)</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OFAC / sanctions consent (shared-core)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Proof of income / employment</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Bank statements</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Credit authorization</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Loan application / disclosures</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Collateral / asset documentation</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Property appraisal &amp; title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TRID disclosures (LE/CD)</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Investment profile / risk tolerance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Suitability / Reg BI documentation</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t>
            </w:r>
          </w:p>
        </w:tc>
        <w:tc>
          <w:tcPr>
            <w:tcW w:type="dxa" w:w="13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w:t>
            </w:r>
          </w:p>
        </w:tc>
      </w:tr>
      <w:tr>
        <w:tc>
          <w:tcPr>
            <w:tcW w:type="dxa" w:w="3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Source-of-wealth / source-of-funds</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w:t>
            </w:r>
          </w:p>
        </w:tc>
        <w:tc>
          <w:tcPr>
            <w:tcW w:type="dxa" w:w="13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w:t>
            </w:r>
          </w:p>
        </w:tc>
      </w:tr>
    </w:tbl>
    <w:p>
      <w:pPr>
        <w:pStyle w:val="Heading1"/>
      </w:pPr>
      <w:r>
        <w:t xml:space="preserve">13. Workflow Comparison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900"/>
        <w:gridCol w:w="1850"/>
        <w:gridCol w:w="1900"/>
        <w:gridCol w:w="1750"/>
      </w:tblGrid>
      <w:tr>
        <w:trPr>
          <w:tblHeader/>
        </w:trPr>
        <w:tc>
          <w:tcPr>
            <w:tcW w:type="dxa" w:w="19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Stage</w:t>
            </w:r>
          </w:p>
        </w:tc>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Retail/Deposit</w:t>
            </w:r>
          </w:p>
        </w:tc>
        <w:tc>
          <w:tcPr>
            <w:tcW w:type="dxa" w:w="18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Loans</w:t>
            </w:r>
          </w:p>
        </w:tc>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Mortgage</w:t>
            </w:r>
          </w:p>
        </w:tc>
        <w:tc>
          <w:tcPr>
            <w:tcW w:type="dxa" w:w="17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Wealth</w:t>
            </w:r>
          </w:p>
        </w:tc>
      </w:tr>
      <w:tr>
        <w:tc>
          <w:tcPr>
            <w:tcW w:type="dxa" w:w="1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Identity &amp; KYC/CIP</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c>
          <w:tcPr>
            <w:tcW w:type="dxa" w:w="18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c>
          <w:tcPr>
            <w:tcW w:type="dxa" w:w="17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r>
      <w:tr>
        <w:tc>
          <w:tcPr>
            <w:tcW w:type="dxa" w:w="1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Sanctions / CDD risk tier</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Yes</w:t>
            </w:r>
          </w:p>
        </w:tc>
        <w:tc>
          <w:tcPr>
            <w:tcW w:type="dxa" w:w="18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Yes</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Yes</w:t>
            </w:r>
          </w:p>
        </w:tc>
        <w:tc>
          <w:tcPr>
            <w:tcW w:type="dxa" w:w="17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Yes (+ EDD common)</w:t>
            </w:r>
          </w:p>
        </w:tc>
      </w:tr>
      <w:tr>
        <w:tc>
          <w:tcPr>
            <w:tcW w:type="dxa" w:w="1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Credit / bureau pull</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c>
          <w:tcPr>
            <w:tcW w:type="dxa" w:w="18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c>
          <w:tcPr>
            <w:tcW w:type="dxa" w:w="17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r>
      <w:tr>
        <w:tc>
          <w:tcPr>
            <w:tcW w:type="dxa" w:w="1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Affordability assessment</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No</w:t>
            </w:r>
          </w:p>
        </w:tc>
        <w:tc>
          <w:tcPr>
            <w:tcW w:type="dxa" w:w="18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Yes</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Yes</w:t>
            </w:r>
          </w:p>
        </w:tc>
        <w:tc>
          <w:tcPr>
            <w:tcW w:type="dxa" w:w="17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No</w:t>
            </w:r>
          </w:p>
        </w:tc>
      </w:tr>
      <w:tr>
        <w:tc>
          <w:tcPr>
            <w:tcW w:type="dxa" w:w="1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Collateral / property checks</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c>
          <w:tcPr>
            <w:tcW w:type="dxa" w:w="18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Conditional</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 (appraisal/title)</w:t>
            </w:r>
          </w:p>
        </w:tc>
        <w:tc>
          <w:tcPr>
            <w:tcW w:type="dxa" w:w="17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r>
      <w:tr>
        <w:tc>
          <w:tcPr>
            <w:tcW w:type="dxa" w:w="1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Regulatory disclosures</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Account terms</w:t>
            </w:r>
          </w:p>
        </w:tc>
        <w:tc>
          <w:tcPr>
            <w:tcW w:type="dxa" w:w="18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ECOA/FCRA notices</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TRID (LE/CD)</w:t>
            </w:r>
          </w:p>
        </w:tc>
        <w:tc>
          <w:tcPr>
            <w:tcW w:type="dxa" w:w="17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Reg BI / suitability</w:t>
            </w:r>
          </w:p>
        </w:tc>
      </w:tr>
      <w:tr>
        <w:tc>
          <w:tcPr>
            <w:tcW w:type="dxa" w:w="1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Suitability assessment</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c>
          <w:tcPr>
            <w:tcW w:type="dxa" w:w="18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w:t>
            </w:r>
          </w:p>
        </w:tc>
        <w:tc>
          <w:tcPr>
            <w:tcW w:type="dxa" w:w="17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Yes</w:t>
            </w:r>
          </w:p>
        </w:tc>
      </w:tr>
      <w:tr>
        <w:tc>
          <w:tcPr>
            <w:tcW w:type="dxa" w:w="19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Approval authority</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Automated / ops</w:t>
            </w:r>
          </w:p>
        </w:tc>
        <w:tc>
          <w:tcPr>
            <w:tcW w:type="dxa" w:w="18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Underwriting</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Underwriting</w:t>
            </w:r>
          </w:p>
        </w:tc>
        <w:tc>
          <w:tcPr>
            <w:tcW w:type="dxa" w:w="17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RM + Compliance</w:t>
            </w:r>
          </w:p>
        </w:tc>
      </w:tr>
      <w:tr>
        <w:tc>
          <w:tcPr>
            <w:tcW w:type="dxa" w:w="19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Typical SLA to activation</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Fastest (often same-day)</w:t>
            </w:r>
          </w:p>
        </w:tc>
        <w:tc>
          <w:tcPr>
            <w:tcW w:type="dxa" w:w="18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Days</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Longest (weeks)</w:t>
            </w:r>
          </w:p>
        </w:tc>
        <w:tc>
          <w:tcPr>
            <w:tcW w:type="dxa" w:w="17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Days–weeks</w:t>
            </w:r>
          </w:p>
        </w:tc>
      </w:tr>
    </w:tbl>
    <w:p>
      <w:pPr>
        <w:spacing w:after="120"/>
      </w:pPr>
      <w:r>
        <w:t xml:space="preserve">Because Retail/Deposit typically completes fastest while Mortgage takes longest, the first-to-complete model usually activates the deposit account first and lets agents continue working Loans, Mortgage, and Wealth in the background.</w:t>
      </w:r>
    </w:p>
    <w:p>
      <w:pPr>
        <w:pStyle w:val="Heading1"/>
      </w:pPr>
      <w:r>
        <w:t xml:space="preserve">14. Assumptions, Dependencies, Constraints &amp; Risks</w:t>
      </w:r>
    </w:p>
    <w:p>
      <w:pPr>
        <w:pStyle w:val="Heading2"/>
      </w:pPr>
      <w:r>
        <w:t xml:space="preserve">14.1 Assumptions</w:t>
      </w:r>
    </w:p>
    <w:p>
      <w:pPr>
        <w:pStyle w:val="ListParagraph"/>
        <w:numPr>
          <w:ilvl w:val="0"/>
          <w:numId w:val="2"/>
        </w:numPr>
        <w:spacing w:after="60"/>
      </w:pPr>
      <w:r>
        <w:t xml:space="preserve">Existing underwriting/decisioning engines remain the system of record for credit decisions; the platform orchestrates but does not replace them.</w:t>
      </w:r>
    </w:p>
    <w:p>
      <w:pPr>
        <w:pStyle w:val="ListParagraph"/>
        <w:numPr>
          <w:ilvl w:val="0"/>
          <w:numId w:val="2"/>
        </w:numPr>
        <w:spacing w:after="60"/>
      </w:pPr>
      <w:r>
        <w:t xml:space="preserve">Required third-party integrations (KYC, bureau, e-signature, core banking) are available with suitable APIs and SLAs.</w:t>
      </w:r>
    </w:p>
    <w:p>
      <w:pPr>
        <w:pStyle w:val="ListParagraph"/>
        <w:numPr>
          <w:ilvl w:val="0"/>
          <w:numId w:val="2"/>
        </w:numPr>
        <w:spacing w:after="60"/>
      </w:pPr>
      <w:r>
        <w:t xml:space="preserve">Human reviewers are available to staff exception and approval queues within defined SLAs.</w:t>
      </w:r>
    </w:p>
    <w:p>
      <w:pPr>
        <w:pStyle w:val="Heading2"/>
      </w:pPr>
      <w:r>
        <w:t xml:space="preserve">14.2 Dependencies</w:t>
      </w:r>
    </w:p>
    <w:p>
      <w:pPr>
        <w:pStyle w:val="ListParagraph"/>
        <w:numPr>
          <w:ilvl w:val="0"/>
          <w:numId w:val="2"/>
        </w:numPr>
        <w:spacing w:after="60"/>
      </w:pPr>
      <w:r>
        <w:t xml:space="preserve">Compliance/Legal sign-off on KYC/CDD, EDD triggers, and disclosure content.</w:t>
      </w:r>
    </w:p>
    <w:p>
      <w:pPr>
        <w:pStyle w:val="ListParagraph"/>
        <w:numPr>
          <w:ilvl w:val="0"/>
          <w:numId w:val="2"/>
        </w:numPr>
        <w:spacing w:after="60"/>
      </w:pPr>
      <w:r>
        <w:t xml:space="preserve">Stable integration contracts with core banking, CRM, KYC, bureau, and e-signature providers.</w:t>
      </w:r>
    </w:p>
    <w:p>
      <w:pPr>
        <w:pStyle w:val="ListParagraph"/>
        <w:numPr>
          <w:ilvl w:val="0"/>
          <w:numId w:val="2"/>
        </w:numPr>
        <w:spacing w:after="60"/>
      </w:pPr>
      <w:r>
        <w:t xml:space="preserve">Configured product workflows, rule sets, and SLA definitions from product owners.</w:t>
      </w:r>
    </w:p>
    <w:p>
      <w:pPr>
        <w:pStyle w:val="Heading2"/>
      </w:pPr>
      <w:r>
        <w:t xml:space="preserve">14.3 Constraints</w:t>
      </w:r>
    </w:p>
    <w:p>
      <w:pPr>
        <w:pStyle w:val="ListParagraph"/>
        <w:numPr>
          <w:ilvl w:val="0"/>
          <w:numId w:val="2"/>
        </w:numPr>
        <w:spacing w:after="60"/>
      </w:pPr>
      <w:r>
        <w:t xml:space="preserve">US data residency and BSA retention (minimum 5 years) constrain storage and deletion.</w:t>
      </w:r>
    </w:p>
    <w:p>
      <w:pPr>
        <w:pStyle w:val="ListParagraph"/>
        <w:numPr>
          <w:ilvl w:val="0"/>
          <w:numId w:val="2"/>
        </w:numPr>
        <w:spacing w:after="60"/>
      </w:pPr>
      <w:r>
        <w:t xml:space="preserve">Agent autonomy is bounded by policy authority limits and mandatory human checkpoints.</w:t>
      </w:r>
    </w:p>
    <w:p>
      <w:pPr>
        <w:pStyle w:val="ListParagraph"/>
        <w:numPr>
          <w:ilvl w:val="0"/>
          <w:numId w:val="2"/>
        </w:numPr>
        <w:spacing w:after="60"/>
      </w:pPr>
      <w:r>
        <w:t xml:space="preserve">Activation cannot occur until all product-specific regulatory prerequisites are satisfied.</w:t>
      </w:r>
    </w:p>
    <w:p>
      <w:pPr>
        <w:pStyle w:val="Heading2"/>
      </w:pPr>
      <w:r>
        <w:t xml:space="preserve">14.4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Risk</w:t>
            </w:r>
          </w:p>
        </w:tc>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Impact</w:t>
            </w:r>
          </w:p>
        </w:tc>
        <w:tc>
          <w:tcPr>
            <w:tcW w:type="dxa" w:w="44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Mitigation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makes an incorrect automated decision</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Compliance / customer harm</w:t>
            </w:r>
          </w:p>
        </w:tc>
        <w:tc>
          <w:tcPr>
            <w:tcW w:type="dxa" w:w="44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Human-in-the-loop checkpoints, authority limits, full explainable logging, monitoring.</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Premature activation before checks complete</w:t>
            </w:r>
          </w:p>
        </w:tc>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Regulatory breach</w:t>
            </w:r>
          </w:p>
        </w:tc>
        <w:tc>
          <w:tcPr>
            <w:tcW w:type="dxa" w:w="44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Hard activation gates per product; no activation until all criteria met (FR-GL-01).</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Shared-document reuse applies an invalid doc to a product</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Data quality / compliance</w:t>
            </w:r>
          </w:p>
        </w:tc>
        <w:tc>
          <w:tcPr>
            <w:tcW w:type="dxa" w:w="44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Per-product sufficiency &amp; expiry validation before reuse (FR-DM-05/07).</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Integration outage stalls journeys</w:t>
            </w:r>
          </w:p>
        </w:tc>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Delays, SLA breach</w:t>
            </w:r>
          </w:p>
        </w:tc>
        <w:tc>
          <w:tcPr>
            <w:tcW w:type="dxa" w:w="44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Idempotent retries, graceful degradation, exception escalation (NFR-03/07).</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Regulatory change (e.g., evolving CDD rules)</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Non-compliance</w:t>
            </w:r>
          </w:p>
        </w:tc>
        <w:tc>
          <w:tcPr>
            <w:tcW w:type="dxa" w:w="44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Configurable rules; Compliance review cadence; the 2026 BO relief tracked explicitly.</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Over-reliance on automation erodes oversight</w:t>
            </w:r>
          </w:p>
        </w:tc>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Audit findings</w:t>
            </w:r>
          </w:p>
        </w:tc>
        <w:tc>
          <w:tcPr>
            <w:tcW w:type="dxa" w:w="44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Mandatory sampling/QA, dashboards, periodic control testing.</w:t>
            </w:r>
          </w:p>
        </w:tc>
      </w:tr>
    </w:tbl>
    <w:p>
      <w:pPr>
        <w:pStyle w:val="Heading1"/>
      </w:pPr>
      <w:r>
        <w:t xml:space="preserve">15. Acceptance Criteria</w:t>
      </w:r>
    </w:p>
    <w:p>
      <w:pPr>
        <w:pStyle w:val="ListParagraph"/>
        <w:numPr>
          <w:ilvl w:val="0"/>
          <w:numId w:val="2"/>
        </w:numPr>
        <w:spacing w:after="60"/>
      </w:pPr>
      <w:r>
        <w:t xml:space="preserve">A single client can have Retail/Deposit, Loans, and Wealth/Mortgage onboardings running concurrently from one application.</w:t>
      </w:r>
    </w:p>
    <w:p>
      <w:pPr>
        <w:pStyle w:val="ListParagraph"/>
        <w:numPr>
          <w:ilvl w:val="0"/>
          <w:numId w:val="2"/>
        </w:numPr>
        <w:spacing w:after="60"/>
      </w:pPr>
      <w:r>
        <w:t xml:space="preserve">A shared-core document uploaded once is automatically applied to every product requiring it, with no duplicate request.</w:t>
      </w:r>
    </w:p>
    <w:p>
      <w:pPr>
        <w:pStyle w:val="ListParagraph"/>
        <w:numPr>
          <w:ilvl w:val="0"/>
          <w:numId w:val="2"/>
        </w:numPr>
        <w:spacing w:after="60"/>
      </w:pPr>
      <w:r>
        <w:t xml:space="preserve">When the first product meets all activation criteria, it is activated independently while remaining products continue processing.</w:t>
      </w:r>
    </w:p>
    <w:p>
      <w:pPr>
        <w:pStyle w:val="ListParagraph"/>
        <w:numPr>
          <w:ilvl w:val="0"/>
          <w:numId w:val="2"/>
        </w:numPr>
        <w:spacing w:after="60"/>
      </w:pPr>
      <w:r>
        <w:t xml:space="preserve">Agents autonomously follow up on outstanding items and escalate exceptions to the correct human queue with context.</w:t>
      </w:r>
    </w:p>
    <w:p>
      <w:pPr>
        <w:pStyle w:val="ListParagraph"/>
        <w:numPr>
          <w:ilvl w:val="0"/>
          <w:numId w:val="2"/>
        </w:numPr>
        <w:spacing w:after="60"/>
      </w:pPr>
      <w:r>
        <w:t xml:space="preserve">Every automated decision and action is recorded in an immutable, exportable audit trail.</w:t>
      </w:r>
    </w:p>
    <w:p>
      <w:pPr>
        <w:pStyle w:val="ListParagraph"/>
        <w:numPr>
          <w:ilvl w:val="0"/>
          <w:numId w:val="2"/>
        </w:numPr>
        <w:spacing w:after="60"/>
      </w:pPr>
      <w:r>
        <w:t xml:space="preserve">KYC/CIP, CDD/beneficial ownership, OFAC screening, and (for Loans/Mortgage) credit checks execute per product with correct disclosures.</w:t>
      </w:r>
    </w:p>
    <w:p>
      <w:pPr>
        <w:pStyle w:val="ListParagraph"/>
        <w:numPr>
          <w:ilvl w:val="0"/>
          <w:numId w:val="2"/>
        </w:numPr>
        <w:spacing w:after="60"/>
      </w:pPr>
      <w:r>
        <w:t xml:space="preserve">No product is activated before all its regulatory prerequisites are satisfied.</w:t>
      </w:r>
    </w:p>
    <w:p>
      <w:pPr>
        <w:pStyle w:val="Heading1"/>
      </w:pPr>
      <w:r>
        <w:t xml:space="preserve">16. Implementation Roadmap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Phase</w:t>
            </w:r>
          </w:p>
        </w:tc>
        <w:tc>
          <w:tcPr>
            <w:tcW w:type="dxa" w:w="40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Scope</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Key Outcomes</w:t>
            </w:r>
          </w:p>
        </w:tc>
      </w:tr>
      <w:tr>
        <w:tc>
          <w:tcPr>
            <w:tcW w:type="dxa" w:w="2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Phase 1 — Foundation</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Shared-core docs, orchestration engine, Retail/Deposit, KYC/CIP, OFAC, portal, audit log.</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First product live via parallel-ready platform; collect-once reuse proven.</w:t>
            </w:r>
          </w:p>
        </w:tc>
      </w:tr>
      <w:tr>
        <w:tc>
          <w:tcPr>
            <w:tcW w:type="dxa" w:w="2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Phase 2 — Loans</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Credit/bureau integration, affordability, ECOA/FCRA, adverse action.</w:t>
            </w:r>
          </w:p>
        </w:tc>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Loans onboarded in parallel with deposits; first-to-complete go-live.</w:t>
            </w:r>
          </w:p>
        </w:tc>
      </w:tr>
      <w:tr>
        <w:tc>
          <w:tcPr>
            <w:tcW w:type="dxa" w:w="2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Phase 3 — Wealth/Mortgage</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TRID intake &amp; disclosures, suitability/Reg BI, appraisal/title, EDD.</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Full three-line parallel onboarding.</w:t>
            </w:r>
          </w:p>
        </w:tc>
      </w:tr>
      <w:tr>
        <w:tc>
          <w:tcPr>
            <w:tcW w:type="dxa" w:w="2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Phase 4 — Extend</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Credit Cards and additional products; optimization &amp; analytics.</w:t>
            </w:r>
          </w:p>
        </w:tc>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Model extended; STP and SLA targets met.</w:t>
            </w:r>
          </w:p>
        </w:tc>
      </w:tr>
    </w:tbl>
    <w:p>
      <w:r>
        <w:br w:type="page"/>
      </w:r>
    </w:p>
    <w:p>
      <w:pPr>
        <w:pStyle w:val="Heading1"/>
      </w:pPr>
      <w:r>
        <w:t xml:space="preserve">17. Solution Architecture — In-House Agent Framework</w:t>
      </w:r>
    </w:p>
    <w:p>
      <w:pPr>
        <w:spacing w:after="120"/>
      </w:pPr>
      <w:r>
        <w:t xml:space="preserve">This section defines the target architecture for the framework that lets the bank define and onboard new agents on the fly — where authorized users specify an agent’s skills, entry criteria, exit criteria, and wiring. The platform is built, owned, and operated entirely in-house and self-hosted on bank infrastructure, with no dependency on third-party managed or SaaS orchestration services. Where mature open-source engines exist for commodity concerns, they are self-hosted as internal building blocks rather than rebuilt from scratch (see 17.7).</w:t>
      </w:r>
    </w:p>
    <w:p>
      <w:pPr>
        <w:pStyle w:val="Heading2"/>
      </w:pPr>
      <w:r>
        <w:t xml:space="preserve">17.1 Architectural Principles</w:t>
      </w:r>
    </w:p>
    <w:p>
      <w:pPr>
        <w:pStyle w:val="ListParagraph"/>
        <w:numPr>
          <w:ilvl w:val="0"/>
          <w:numId w:val="2"/>
        </w:numPr>
        <w:spacing w:after="60"/>
      </w:pPr>
      <w:r>
        <w:t xml:space="preserve">Declarative over hard-coded: agents, skills, and criteria are data held in a registry, not compiled code. A new agent is onboarded by registering a definition — not by redeploying the platform.</w:t>
      </w:r>
    </w:p>
    <w:p>
      <w:pPr>
        <w:pStyle w:val="ListParagraph"/>
        <w:numPr>
          <w:ilvl w:val="0"/>
          <w:numId w:val="2"/>
        </w:numPr>
        <w:spacing w:after="60"/>
      </w:pPr>
      <w:r>
        <w:t xml:space="preserve">Criteria-driven activation, not static wiring: agents are triggered by their entry criteria evaluated against shared state, so adding an agent never requires rewiring a central workflow graph.</w:t>
      </w:r>
    </w:p>
    <w:p>
      <w:pPr>
        <w:pStyle w:val="ListParagraph"/>
        <w:numPr>
          <w:ilvl w:val="0"/>
          <w:numId w:val="2"/>
        </w:numPr>
        <w:spacing w:after="60"/>
      </w:pPr>
      <w:r>
        <w:t xml:space="preserve">Separation of planes: a control plane owns definitions, authoring, and governance; an execution plane runs the orchestration at runtime.</w:t>
      </w:r>
    </w:p>
    <w:p>
      <w:pPr>
        <w:pStyle w:val="ListParagraph"/>
        <w:numPr>
          <w:ilvl w:val="0"/>
          <w:numId w:val="2"/>
        </w:numPr>
        <w:spacing w:after="60"/>
      </w:pPr>
      <w:r>
        <w:t xml:space="preserve">Skills vs. tools: skills are packaged know-how (instructions/behavior); tools are governed access to systems. The two are modeled distinctly.</w:t>
      </w:r>
    </w:p>
    <w:p>
      <w:pPr>
        <w:pStyle w:val="ListParagraph"/>
        <w:numPr>
          <w:ilvl w:val="0"/>
          <w:numId w:val="2"/>
        </w:numPr>
        <w:spacing w:after="60"/>
      </w:pPr>
      <w:r>
        <w:t xml:space="preserve">Guardrails are first-class: human-in-the-loop checkpoints and authority limits are enforced by the runtime, not left to individual agents.</w:t>
      </w:r>
    </w:p>
    <w:p>
      <w:pPr>
        <w:pStyle w:val="ListParagraph"/>
        <w:numPr>
          <w:ilvl w:val="0"/>
          <w:numId w:val="2"/>
        </w:numPr>
        <w:spacing w:after="60"/>
      </w:pPr>
      <w:r>
        <w:t xml:space="preserve">Everything is auditable and replayable from an immutable decision log.</w:t>
      </w:r>
    </w:p>
    <w:p>
      <w:pPr>
        <w:pStyle w:val="Heading2"/>
      </w:pPr>
      <w:r>
        <w:t xml:space="preserve">17.2 Logical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60"/>
        <w:gridCol w:w="500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Plane</w:t>
            </w:r>
          </w:p>
        </w:tc>
        <w:tc>
          <w:tcPr>
            <w:tcW w:type="dxa" w:w="30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Component</w:t>
            </w:r>
          </w:p>
        </w:tc>
        <w:tc>
          <w:tcPr>
            <w:tcW w:type="dxa" w:w="5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Responsibility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Control</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Registry</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Stores versioned, declarative agent definitions; source of truth for the orchestrator.</w:t>
            </w:r>
          </w:p>
        </w:tc>
      </w:tr>
      <w:tr>
        <w:tc>
          <w:tcPr>
            <w:tcW w:type="dxa" w:w="1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Control</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Skill Catalog</w:t>
            </w:r>
          </w:p>
        </w:tc>
        <w:tc>
          <w:tcPr>
            <w:tcW w:type="dxa" w:w="5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Stores and versions reusable skill (know-how) bundles referenced by agents.</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Control</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Criteria &amp; Wiring Designer</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UI for authorized users to define skills, entry/exit criteria, and agent wiring.</w:t>
            </w:r>
          </w:p>
        </w:tc>
      </w:tr>
      <w:tr>
        <w:tc>
          <w:tcPr>
            <w:tcW w:type="dxa" w:w="1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Control</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Lifecycle Governance</w:t>
            </w:r>
          </w:p>
        </w:tc>
        <w:tc>
          <w:tcPr>
            <w:tcW w:type="dxa" w:w="5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Validation, sandbox testing, approval, versioning, and deprecation of agents.</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Orchestrator</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Data-driven from the registry; matches blackboard state to entry criteria and dispatches agents.</w:t>
            </w:r>
          </w:p>
        </w:tc>
      </w:tr>
      <w:tr>
        <w:tc>
          <w:tcPr>
            <w:tcW w:type="dxa" w:w="1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Blackboard (shared context store)</w:t>
            </w:r>
          </w:p>
        </w:tc>
        <w:tc>
          <w:tcPr>
            <w:tcW w:type="dxa" w:w="5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Holds client master, shared-core documents, and check results; publishes state changes.</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Criteria / Rules Engine</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Evaluates entry/exit predicates and decision tables.</w:t>
            </w:r>
          </w:p>
        </w:tc>
      </w:tr>
      <w:tr>
        <w:tc>
          <w:tcPr>
            <w:tcW w:type="dxa" w:w="1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Durable Workflow Engine</w:t>
            </w:r>
          </w:p>
        </w:tc>
        <w:tc>
          <w:tcPr>
            <w:tcW w:type="dxa" w:w="5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Long-running state, timers, retries, and recovery across days/weeks.</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Event Bus</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Asynchronous, event-driven hand-offs between agents and journeys.</w:t>
            </w:r>
          </w:p>
        </w:tc>
      </w:tr>
      <w:tr>
        <w:tc>
          <w:tcPr>
            <w:tcW w:type="dxa" w:w="1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Tool / MCP Gateway</w:t>
            </w:r>
          </w:p>
        </w:tc>
        <w:tc>
          <w:tcPr>
            <w:tcW w:type="dxa" w:w="5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Governed, audited access to integrations (KYC, bureau, e-sign, core banking).</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Policy &amp; Guardrails</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Enforces authority limits and mandatory human checkpoints.</w:t>
            </w:r>
          </w:p>
        </w:tc>
      </w:tr>
      <w:tr>
        <w:tc>
          <w:tcPr>
            <w:tcW w:type="dxa" w:w="13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Human Task Service</w:t>
            </w:r>
          </w:p>
        </w:tc>
        <w:tc>
          <w:tcPr>
            <w:tcW w:type="dxa" w:w="5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Review/approval queues with full context for exceptions.</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Execution</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Decision Log &amp; Observability</w:t>
            </w:r>
          </w:p>
        </w:tc>
        <w:tc>
          <w:tcPr>
            <w:tcW w:type="dxa" w:w="5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Immutable audit trail, metrics, and tracing across all agents.</w:t>
            </w:r>
          </w:p>
        </w:tc>
      </w:tr>
    </w:tbl>
    <w:p>
      <w:pPr>
        <w:pStyle w:val="Heading2"/>
      </w:pPr>
      <w:r>
        <w:t xml:space="preserve">17.3 Criteria-Driven Activation (Blackboard Pattern)</w:t>
      </w:r>
    </w:p>
    <w:p>
      <w:pPr>
        <w:spacing w:after="120"/>
      </w:pPr>
      <w:r>
        <w:t xml:space="preserve">The framework avoids a fixed, centrally wired agent graph. Instead, a shared blackboard holds the client’s evolving state. Each registered agent declares an entry predicate over that state (for example: product = Mortgage AND KYC verified AND credit not yet pulled). The orchestrator continuously matches blackboard state against all registered entry criteria; when an agent’s predicate is satisfied, the orchestrator activates it. The agent performs its work, writes results back to the blackboard, and signals its exit/completion criteria, which in turn may satisfy the entry criteria of downstream agents.</w:t>
      </w:r>
    </w:p>
    <w:p>
      <w:pPr>
        <w:spacing w:after="120"/>
      </w:pPr>
      <w:r>
        <w:t xml:space="preserve">This design delivers two properties the bank needs. First, on-the-fly onboarding: a new agent is added by registering its definition; its entry criteria subscribe it to the relevant state with no change to existing agents or central wiring. Second, parallelism and reuse: many agents observe the same shared state, so shared-core work is performed once and consumed by every product journey — the same mechanism behind collect-once document reuse and first-to-complete go-live.</w:t>
      </w:r>
    </w:p>
    <w:p>
      <w:pPr>
        <w:pStyle w:val="Heading2"/>
      </w:pPr>
      <w:r>
        <w:t xml:space="preserve">17.4 Declarative Agent Definition Contract</w:t>
      </w:r>
    </w:p>
    <w:p>
      <w:pPr>
        <w:spacing w:after="120"/>
      </w:pPr>
      <w:r>
        <w:t xml:space="preserve">Every agent is described by a versioned definition authored through the designer and stored in the registry. The elements below are the minimum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Element</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Description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ID &amp; version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Unique identifier and semantic version; in-flight cases stay pinned to their version.</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Name &amp; description</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Human-readable purpose.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Skills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References to reusable know-how bundles the agent applies.</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Tools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References to systems/MCP servers the agent is permitted to call.</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Entry criteria</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Declarative predicate over blackboard state that activates the agent.</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Exit / completion criteria</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Predicate signalling the agent’s work is done.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Inputs / outputs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Blackboard fields the agent reads and writes (its data contract).</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Authority limits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What the agent may decide or approve autonomously before escalation.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Human-in-the-loop checkpoints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Mandatory points requiring human review/approval.</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SLA / retry / escalation</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Time bounds, retry policy, and escalation targets.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Owner &amp; approval status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Accountable team and governance state (draft / approved).</w:t>
            </w:r>
          </w:p>
        </w:tc>
      </w:tr>
    </w:tbl>
    <w:p>
      <w:pPr>
        <w:pStyle w:val="Heading2"/>
      </w:pPr>
      <w:r>
        <w:t xml:space="preserve">17.5 Core Components to Build In-House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Component</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In-House Build Approach</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Registry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Bespoke versioned store, API, and authoring UI. Core differentiator — build fully.</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Skill Catalog</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Bespoke store and versioning for instruction/know-how bundles.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Blackboard / shared store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Custom domain schema (client master, shared-core docs, results) on self-hosted Postgres + Redis with change publication.</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Criteria / Rules engine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Evaluate entry/exit predicates and decision tables; build, optionally on a self-hosted rules library.</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Orchestrator</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Bespoke, data-driven from the registry; matches state to criteria and dispatches. Build fully.</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Durable workflow engine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Self-host a proven OSS engine on bank infra rather than rebuild distributed durable state (see 17.7).</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Event bus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Self-hosted streaming backbone (e.g., Kafka) for hand-offs.</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Tool / MCP gateway</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In-house gateway and MCP servers wrapping each integration, with audit and authorization.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Policy &amp; guardrails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In-house policy service (optionally on a self-hosted policy engine) enforcing authority and HITL.</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Human task service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Bespoke queues with context for review and approval.</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Decision log &amp; observability</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Immutable audit store plus tracing/metrics on the bank’s logging stack.</w:t>
            </w:r>
          </w:p>
        </w:tc>
      </w:tr>
    </w:tbl>
    <w:p>
      <w:pPr>
        <w:pStyle w:val="Heading2"/>
      </w:pPr>
      <w:r>
        <w:t xml:space="preserve">17.6 Agent Lifecycle &amp; Governance (Onboarding Agents Safely)</w:t>
      </w:r>
    </w:p>
    <w:p>
      <w:pPr>
        <w:spacing w:after="120"/>
      </w:pPr>
      <w:r>
        <w:t xml:space="preserve">Because agents are added on the fly in a regulated environment, on-the-fly does not mean uncontrolled. Each agent definition flows through a governed lifecycle before it can act on real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Stage</w:t>
            </w:r>
          </w:p>
        </w:tc>
        <w:tc>
          <w:tcPr>
            <w:tcW w:type="dxa" w:w="7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Control</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Author</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Authorized user defines skills, criteria, and wiring in the designer.</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Validate</w:t>
            </w:r>
          </w:p>
        </w:tc>
        <w:tc>
          <w:tcPr>
            <w:tcW w:type="dxa" w:w="71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Automated schema and criteria linting (e.g., no contradictory or unreachable predicates).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Sandbox test</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Run the agent against synthetic/replayed cases in an isolated environment; no production effects.</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Approve</w:t>
            </w:r>
          </w:p>
        </w:tc>
        <w:tc>
          <w:tcPr>
            <w:tcW w:type="dxa" w:w="71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Risk/Compliance sign-off recorded against the version.</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Promote</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Versioned release to production; existing in-flight cases remain on their prior version.</w:t>
            </w:r>
          </w:p>
        </w:tc>
      </w:tr>
      <w:t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Monitor</w:t>
            </w:r>
          </w:p>
        </w:tc>
        <w:tc>
          <w:tcPr>
            <w:tcW w:type="dxa" w:w="71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Live metrics, decision-log review, and sampling/QA.</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Deprecate</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Controlled retirement once no in-flight case depends on the version.</w:t>
            </w:r>
          </w:p>
        </w:tc>
      </w:tr>
    </w:tbl>
    <w:p>
      <w:pPr>
        <w:pStyle w:val="Heading2"/>
      </w:pPr>
      <w:r>
        <w:t xml:space="preserve">17.7 In-House Build Strategy &amp; Technology Approach</w:t>
      </w:r>
    </w:p>
    <w:p>
      <w:pPr>
        <w:spacing w:after="120"/>
      </w:pPr>
      <w:r>
        <w:t xml:space="preserve">“Build everything in-house” is interpreted here as: the bank owns, hosts, and operates the entire platform on its own infrastructure, with no reliance on external managed/SaaS services and no vendor lock-in. For commodity infrastructure layers, the recommended approach is to self-host mature open-source engines as internal building blocks — this remains fully in-house (owned and run by the bank) while avoiding the cost and risk of re-implementing solved problems such as distributed durable execution. Bespoke build effort is concentrated on the differentiating layers: the registry, blackboard, orchestrator,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Capability</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Recommended In-House Approach</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Durable workflow execution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Self-host an OSS engine (e.g., Temporal OSS) on bank infra; build fully custom only if deemed strategic.</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 reasoning / control flow</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Build on a self-hostable OSS agent library (e.g., a LangGraph-style graph runtime) or an in-house equivalent; no SaaS orchestration dependency.</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Business-authored wiring &amp; criteria</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Self-host a BPMN/DMN engine (e.g., Camunda OSS) for the visual designer and decision tables, or build a custom rules UI.</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Tool access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In-house MCP gateway and servers for each integration.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Policy / guardrails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Self-host OPA (Rego) or build a custom policy service.</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 backbone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Self-host Kafka (or equivalent) on bank infra.</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Shared state (blackboard)</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Custom schema on self-hosted Postgres + Redis (plus a vector store if semantic retrieval is needed).</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Model serving</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Internal model gateway aligned to the bank’s AI governance; self-hosted or private-tenant.</w:t>
            </w:r>
          </w:p>
        </w:tc>
      </w:tr>
    </w:tbl>
    <w:p>
      <w:pPr>
        <w:spacing w:after="120"/>
      </w:pPr>
      <w:r>
        <w:t xml:space="preserve">Caution: building a durable, distributed workflow engine entirely from scratch is high-effort and high-risk. The recommendation is to self-host a proven open-source engine as an internal, bank-operated component and concentrate custom engineering on the registry, blackboard, orchestrator, and governance — the layers that constitute the bank’s genuine differentiation. This keeps the platform fully in-house while de-risking delivery.</w:t>
      </w:r>
    </w:p>
    <w:p>
      <w:r>
        <w:br w:type="page"/>
      </w:r>
    </w:p>
    <w:p>
      <w:pPr>
        <w:pStyle w:val="Heading1"/>
      </w:pPr>
      <w:r>
        <w:t xml:space="preserve">Appendix A — Sample Agent Definition (Illustrative)</w:t>
      </w:r>
    </w:p>
    <w:p>
      <w:pPr>
        <w:spacing w:after="120"/>
      </w:pPr>
      <w:r>
        <w:t xml:space="preserve">An indicative declarative definition for a Mortgage Credit Agent, as stored in the registry. Field names are illustrative.</w:t>
      </w:r>
    </w:p>
    <w:p>
      <w:pPr>
        <w:shd w:fill="F4F6F8" w:val="clear"/>
        <w:spacing w:after="0"/>
      </w:pPr>
      <w:r>
        <w:rPr>
          <w:rFonts w:ascii="Courier New" w:cs="Courier New" w:eastAsia="Courier New" w:hAnsi="Courier New"/>
          <w:sz w:val="17"/>
          <w:szCs w:val="17"/>
        </w:rPr>
        <w:t xml:space="preserve">{</w:t>
      </w:r>
    </w:p>
    <w:p>
      <w:pPr>
        <w:shd w:fill="F4F6F8" w:val="clear"/>
        <w:spacing w:after="0"/>
      </w:pPr>
      <w:r>
        <w:rPr>
          <w:rFonts w:ascii="Courier New" w:cs="Courier New" w:eastAsia="Courier New" w:hAnsi="Courier New"/>
          <w:sz w:val="17"/>
          <w:szCs w:val="17"/>
        </w:rPr>
        <w:t xml:space="preserve">  "agentId": "mortgage.credit-agent",</w:t>
      </w:r>
    </w:p>
    <w:p>
      <w:pPr>
        <w:shd w:fill="F4F6F8" w:val="clear"/>
        <w:spacing w:after="0"/>
      </w:pPr>
      <w:r>
        <w:rPr>
          <w:rFonts w:ascii="Courier New" w:cs="Courier New" w:eastAsia="Courier New" w:hAnsi="Courier New"/>
          <w:sz w:val="17"/>
          <w:szCs w:val="17"/>
        </w:rPr>
        <w:t xml:space="preserve">  "version": "1.4.0",</w:t>
      </w:r>
    </w:p>
    <w:p>
      <w:pPr>
        <w:shd w:fill="F4F6F8" w:val="clear"/>
        <w:spacing w:after="0"/>
      </w:pPr>
      <w:r>
        <w:rPr>
          <w:rFonts w:ascii="Courier New" w:cs="Courier New" w:eastAsia="Courier New" w:hAnsi="Courier New"/>
          <w:sz w:val="17"/>
          <w:szCs w:val="17"/>
        </w:rPr>
        <w:t xml:space="preserve">  "name": "Mortgage Credit Agent",</w:t>
      </w:r>
    </w:p>
    <w:p>
      <w:pPr>
        <w:shd w:fill="F4F6F8" w:val="clear"/>
        <w:spacing w:after="0"/>
      </w:pPr>
      <w:r>
        <w:rPr>
          <w:rFonts w:ascii="Courier New" w:cs="Courier New" w:eastAsia="Courier New" w:hAnsi="Courier New"/>
          <w:sz w:val="17"/>
          <w:szCs w:val="17"/>
        </w:rPr>
        <w:t xml:space="preserve">  "skills": ["assess-affordability", "interpret-bureau-report"],</w:t>
      </w:r>
    </w:p>
    <w:p>
      <w:pPr>
        <w:shd w:fill="F4F6F8" w:val="clear"/>
        <w:spacing w:after="0"/>
      </w:pPr>
      <w:r>
        <w:rPr>
          <w:rFonts w:ascii="Courier New" w:cs="Courier New" w:eastAsia="Courier New" w:hAnsi="Courier New"/>
          <w:sz w:val="17"/>
          <w:szCs w:val="17"/>
        </w:rPr>
        <w:t xml:space="preserve">  "tools": ["mcp:credit-bureau", "mcp:core-banking"],</w:t>
      </w:r>
    </w:p>
    <w:p>
      <w:pPr>
        <w:shd w:fill="F4F6F8" w:val="clear"/>
        <w:spacing w:after="0"/>
      </w:pPr>
      <w:r>
        <w:rPr>
          <w:rFonts w:ascii="Courier New" w:cs="Courier New" w:eastAsia="Courier New" w:hAnsi="Courier New"/>
          <w:sz w:val="17"/>
          <w:szCs w:val="17"/>
        </w:rPr>
        <w:t xml:space="preserve">  "entryCriteria": "product == 'Mortgage' &amp;&amp; kyc.status == 'verified'</w:t>
      </w:r>
    </w:p>
    <w:p>
      <w:pPr>
        <w:shd w:fill="F4F6F8" w:val="clear"/>
        <w:spacing w:after="0"/>
      </w:pPr>
      <w:r>
        <w:rPr>
          <w:rFonts w:ascii="Courier New" w:cs="Courier New" w:eastAsia="Courier New" w:hAnsi="Courier New"/>
          <w:sz w:val="17"/>
          <w:szCs w:val="17"/>
        </w:rPr>
        <w:t xml:space="preserve">                     &amp;&amp; credit.pull == null",</w:t>
      </w:r>
    </w:p>
    <w:p>
      <w:pPr>
        <w:shd w:fill="F4F6F8" w:val="clear"/>
        <w:spacing w:after="0"/>
      </w:pPr>
      <w:r>
        <w:rPr>
          <w:rFonts w:ascii="Courier New" w:cs="Courier New" w:eastAsia="Courier New" w:hAnsi="Courier New"/>
          <w:sz w:val="17"/>
          <w:szCs w:val="17"/>
        </w:rPr>
        <w:t xml:space="preserve">  "exitCriteria": "credit.decision in ['approved','referred','declined']",</w:t>
      </w:r>
    </w:p>
    <w:p>
      <w:pPr>
        <w:shd w:fill="F4F6F8" w:val="clear"/>
        <w:spacing w:after="0"/>
      </w:pPr>
      <w:r>
        <w:rPr>
          <w:rFonts w:ascii="Courier New" w:cs="Courier New" w:eastAsia="Courier New" w:hAnsi="Courier New"/>
          <w:sz w:val="17"/>
          <w:szCs w:val="17"/>
        </w:rPr>
        <w:t xml:space="preserve">  "inputs": ["client.ssn", "client.income", "product.amount"],</w:t>
      </w:r>
    </w:p>
    <w:p>
      <w:pPr>
        <w:shd w:fill="F4F6F8" w:val="clear"/>
        <w:spacing w:after="0"/>
      </w:pPr>
      <w:r>
        <w:rPr>
          <w:rFonts w:ascii="Courier New" w:cs="Courier New" w:eastAsia="Courier New" w:hAnsi="Courier New"/>
          <w:sz w:val="17"/>
          <w:szCs w:val="17"/>
        </w:rPr>
        <w:t xml:space="preserve">  "outputs": ["credit.score", "credit.decision", "affordability.result"],</w:t>
      </w:r>
    </w:p>
    <w:p>
      <w:pPr>
        <w:shd w:fill="F4F6F8" w:val="clear"/>
        <w:spacing w:after="0"/>
      </w:pPr>
      <w:r>
        <w:rPr>
          <w:rFonts w:ascii="Courier New" w:cs="Courier New" w:eastAsia="Courier New" w:hAnsi="Courier New"/>
          <w:sz w:val="17"/>
          <w:szCs w:val="17"/>
        </w:rPr>
        <w:t xml:space="preserve">  "authorityLimits": { "autoApproveUpTo": 250000,</w:t>
      </w:r>
    </w:p>
    <w:p>
      <w:pPr>
        <w:shd w:fill="F4F6F8" w:val="clear"/>
        <w:spacing w:after="0"/>
      </w:pPr>
      <w:r>
        <w:rPr>
          <w:rFonts w:ascii="Courier New" w:cs="Courier New" w:eastAsia="Courier New" w:hAnsi="Courier New"/>
          <w:sz w:val="17"/>
          <w:szCs w:val="17"/>
        </w:rPr>
        <w:t xml:space="preserve">                      "elseEscalateTo": "underwriting-queue" },</w:t>
      </w:r>
    </w:p>
    <w:p>
      <w:pPr>
        <w:shd w:fill="F4F6F8" w:val="clear"/>
        <w:spacing w:after="0"/>
      </w:pPr>
      <w:r>
        <w:rPr>
          <w:rFonts w:ascii="Courier New" w:cs="Courier New" w:eastAsia="Courier New" w:hAnsi="Courier New"/>
          <w:sz w:val="17"/>
          <w:szCs w:val="17"/>
        </w:rPr>
        <w:t xml:space="preserve">  "humanCheckpoints": ["referred -&gt; underwriting-queue"],</w:t>
      </w:r>
    </w:p>
    <w:p>
      <w:pPr>
        <w:shd w:fill="F4F6F8" w:val="clear"/>
        <w:spacing w:after="0"/>
      </w:pPr>
      <w:r>
        <w:rPr>
          <w:rFonts w:ascii="Courier New" w:cs="Courier New" w:eastAsia="Courier New" w:hAnsi="Courier New"/>
          <w:sz w:val="17"/>
          <w:szCs w:val="17"/>
        </w:rPr>
        <w:t xml:space="preserve">  "sla": { "completeWithin": "P2D", "retries": 3,</w:t>
      </w:r>
    </w:p>
    <w:p>
      <w:pPr>
        <w:shd w:fill="F4F6F8" w:val="clear"/>
        <w:spacing w:after="0"/>
      </w:pPr>
      <w:r>
        <w:rPr>
          <w:rFonts w:ascii="Courier New" w:cs="Courier New" w:eastAsia="Courier New" w:hAnsi="Courier New"/>
          <w:sz w:val="17"/>
          <w:szCs w:val="17"/>
        </w:rPr>
        <w:t xml:space="preserve">          "escalateOnBreach": "ops-queue" },</w:t>
      </w:r>
    </w:p>
    <w:p>
      <w:pPr>
        <w:shd w:fill="F4F6F8" w:val="clear"/>
        <w:spacing w:after="0"/>
      </w:pPr>
      <w:r>
        <w:rPr>
          <w:rFonts w:ascii="Courier New" w:cs="Courier New" w:eastAsia="Courier New" w:hAnsi="Courier New"/>
          <w:sz w:val="17"/>
          <w:szCs w:val="17"/>
        </w:rPr>
        <w:t xml:space="preserve">  "owner": "credit-onboarding-team",</w:t>
      </w:r>
    </w:p>
    <w:p>
      <w:pPr>
        <w:shd w:fill="F4F6F8" w:val="clear"/>
        <w:spacing w:after="0"/>
      </w:pPr>
      <w:r>
        <w:rPr>
          <w:rFonts w:ascii="Courier New" w:cs="Courier New" w:eastAsia="Courier New" w:hAnsi="Courier New"/>
          <w:sz w:val="17"/>
          <w:szCs w:val="17"/>
        </w:rPr>
        <w:t xml:space="preserve">  "status": "approved"</w:t>
      </w:r>
    </w:p>
    <w:p>
      <w:pPr>
        <w:shd w:fill="F4F6F8" w:val="clear"/>
        <w:spacing w:after="0"/>
      </w:pPr>
      <w:r>
        <w:rPr>
          <w:rFonts w:ascii="Courier New" w:cs="Courier New" w:eastAsia="Courier New" w:hAnsi="Courier New"/>
          <w:sz w:val="17"/>
          <w:szCs w:val="17"/>
        </w:rPr>
        <w:t xml:space="preserve">}</w:t>
      </w:r>
    </w:p>
    <w:p>
      <w:pPr>
        <w:spacing w:after="80"/>
      </w:pPr>
      <w:r>
        <w:t xml:space="preserve"/>
      </w:r>
    </w:p>
    <w:p>
      <w:pPr>
        <w:pStyle w:val="Heading1"/>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Term</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Meaning</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Control plane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The layer that owns agent definitions, authoring, and governance.</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Execution plane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The runtime that orchestrates and runs agents against live cases.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Blackboard</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Shared context store holding evolving client state read/written by agents.</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Entry criteria</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Declarative condition that activates an agent when satisfied by state.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Exit criteria</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Declarative condition signalling an agent has completed its work.</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Skill</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Packaged know-how/instructions describing how an agent performs a task.</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Tool</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Governed access to an external system, exposed via the MCP gateway.</w:t>
            </w:r>
          </w:p>
        </w:tc>
      </w:tr>
      <w:t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 definition</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The versioned, declarative contract describing a single agent.</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Criteria-driven activation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Triggering agents by matching state to entry criteria instead of fixed wiring.</w:t>
            </w:r>
          </w:p>
        </w:tc>
      </w:tr>
    </w:tbl>
    <w:p>
      <w:pPr>
        <w:spacing w:after="80"/>
      </w:pPr>
      <w:r>
        <w:t xml:space="preserve"/>
      </w:r>
    </w:p>
    <w:p>
      <w:pPr>
        <w:spacing w:before="240"/>
      </w:pPr>
      <w:r>
        <w:rPr>
          <w:i/>
          <w:iCs/>
          <w:color w:val="80808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Draft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BRD — Agentic Multi-Product Client Onboarding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2026-06-06T15:49:16.889Z</dcterms:created>
  <dcterms:modified xsi:type="dcterms:W3CDTF">2026-06-06T15:49:16.890Z</dcterms:modified>
</cp:coreProperties>
</file>

<file path=docProps/custom.xml><?xml version="1.0" encoding="utf-8"?>
<Properties xmlns="http://schemas.openxmlformats.org/officeDocument/2006/custom-properties" xmlns:vt="http://schemas.openxmlformats.org/officeDocument/2006/docPropsVTypes"/>
</file>