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  <w:jc w:val="center"/>
      </w:pPr>
      <w:r>
        <w:rPr>
          <w:b/>
          <w:bCs/>
          <w:color w:val="1F3864"/>
          <w:sz w:val="44"/>
          <w:szCs w:val="44"/>
        </w:rPr>
        <w:t xml:space="preserve">ARCHITECTURE DECISION RECORDS</w:t>
      </w:r>
    </w:p>
    <w:p>
      <w:pPr>
        <w:spacing w:before="120"/>
        <w:jc w:val="center"/>
      </w:pPr>
      <w:r>
        <w:rPr>
          <w:b/>
          <w:bCs/>
          <w:color w:val="2E75B6"/>
          <w:sz w:val="28"/>
          <w:szCs w:val="28"/>
        </w:rPr>
        <w:t xml:space="preserve">Agentic Multi-Product Client Onboarding Platform</w:t>
      </w:r>
    </w:p>
    <w:p>
      <w:pPr>
        <w:spacing w:before="80"/>
        <w:jc w:val="center"/>
      </w:pPr>
      <w:r>
        <w:rPr>
          <w:i/>
          <w:iCs/>
          <w:color w:val="595959"/>
          <w:sz w:val="23"/>
          <w:szCs w:val="23"/>
        </w:rPr>
        <w:t xml:space="preserve">Key technical trade-offs and the rationale behind them</w:t>
      </w:r>
    </w:p>
    <w:p>
      <w:pPr>
        <w:spacing w:before="700"/>
        <w:jc w:val="center"/>
      </w:pPr>
      <w:r>
        <w:rPr>
          <w:color w:val="595959"/>
          <w:sz w:val="21"/>
          <w:szCs w:val="21"/>
        </w:rPr>
        <w:t xml:space="preserve">Companion to the BRD and Technical Architecture v1.0</w:t>
      </w:r>
    </w:p>
    <w:p>
      <w:pPr>
        <w:spacing w:before="80"/>
        <w:jc w:val="center"/>
      </w:pPr>
      <w:r>
        <w:rPr>
          <w:color w:val="595959"/>
          <w:sz w:val="21"/>
          <w:szCs w:val="21"/>
        </w:rPr>
        <w:t xml:space="preserve">Version 1.0  |  Draft for Review  |  June 2026</w:t>
      </w:r>
    </w:p>
    <w:p>
      <w:r>
        <w:br w:type="page"/>
      </w:r>
    </w:p>
    <w:p>
      <w:pPr>
        <w:pStyle w:val="Heading1"/>
      </w:pPr>
      <w:r>
        <w:t xml:space="preserve">About These Records</w:t>
      </w:r>
    </w:p>
    <w:p>
      <w:pPr>
        <w:spacing w:after="120"/>
      </w:pPr>
      <w:r>
        <w:t xml:space="preserve">An Architecture Decision Record (ADR) captures a single significant architectural decision: the context that forced a choice, the decision taken, its consequences, and the alternatives that were rejected. ADRs make the reasoning behind the architecture explicit and reviewable, which is especially important in a regulated banking environment where decisions must be defensible over time.</w:t>
      </w:r>
    </w:p>
    <w:p>
      <w:pPr>
        <w:spacing w:after="120"/>
      </w:pPr>
      <w:r>
        <w:t xml:space="preserve">Each record below uses the format: Status; Context; Decision; Consequences (positive and negative); and Alternatives considered. All records are currently Accepted as of June 2026 and should be revisited if their context materially changes.</w:t>
      </w:r>
    </w:p>
    <w:p>
      <w:pPr>
        <w:pStyle w:val="Heading2"/>
      </w:pPr>
      <w:r>
        <w:t xml:space="preserve">Index of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ADR-001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Self-host Temporal for durable workflow execution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ADR-002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Criteria-driven activation over a shared blackboard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ADR-003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Build differentiators bespoke; self-host OSS for commodity layers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ADR-004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Polyglot stack — JVM core services, Python agent reasoning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ADR-005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Target 99.95% via dual-AZ active-active, with active-passive DR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ADR-006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Mixed consistency — strong for gating state, eventual elsewhere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ADR-007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MCP Gateway as the sole egress to integrations and on-prem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ADR-008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Self-hosted, private-tenant LLMs behind an internal model gateway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ADR-001: Self-host Temporal for durable workflow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Client onboarding journeys are long-running (days to weeks) and require durable state, timers, retries, and crash recovery. Building a correct distributed durable-execution engine is a hard, well-known problem. The bank mandates an in-house, self-hosted platform with no SaaS dependency.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Adopt Temporal as the durable workflow engine, self-hosted on bank infrastructure and treated as an internal, bank-operated building block rather than rebuilt from scratch.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Proven, production-grade durable execution with crash recovery.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Significantly faster delivery than building an engine.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Multi-language SDKs support the polyglot stack.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Replayable workflow history strengthens auditability.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Operational burden of running and scaling a Temporal cluster.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Team must build expertise in Temporal.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Another stateful system to patch, secure, and back up.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Build a custom workflow engine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high effort and risk reinventing a solved, complex problem.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Use a managed/SaaS workflow 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violates the in-house, self-hosted mandate.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Queues + cron jobs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lacks durable state, timers, and recovery semantics.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ADR-002: Criteria-driven activation over a shared blackboard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A core requirement is onboarding new agents on the fly, with users defining entry criteria, exit criteria, and wiring. A fixed, centrally wired agent graph would require editing and redeploying that graph for every new agent.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Use a shared blackboard holding client state; each agent declares an entry predicate; the orchestrator activates agents when their predicates are satisfied. There is no static central graph.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New agents are added by registering a definition — no redeploy.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Natural parallelism and shared-core reuse across product journeys.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Agents are decoupled and independently evolvable.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Global end-to-end flow is harder to reason about than an explicit graph.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Risk of unintended activations from overlapping predicates.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Requires predicate indexing, linting, and strong observability.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Static central DAG / state machine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brittle; requires redeploy per agent change.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Pure event choreography (no shared state)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lacks authoritative shared state needed for reuse and activation gating.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Orchestrator with hard-coded routing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not declarative or user-authorable.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ADR-003: Build differentiators bespoke; self-host OSS for commodity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The bank wants to build everything in-house. Building every layer fully from scratch is high-cost and high-risk, especially for solved infrastructure problems.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Build the differentiating layers bespoke (agent registry, blackboard, orchestrator, governance) and self-host mature open-source engines for commodity concerns (durable workflow, eventing, policy, identity). Everything is bank-owned and operated; no SaaS.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Engineering effort concentrates on genuine differentiators.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De-risks delivery by reusing battle-tested components.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vendor lock-in; full control over data and infrastructure.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bank must operate and maintain several OSS systems.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Integration and lifecycle overhead across components.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Security patching and upgrades become the bank's responsibility.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Build 100% of every layer from scratch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prohibitive cost, time, and risk.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Adopt a managed SaaS agent/onboarding platform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conflicts with the in-house mandate and data residency.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Buy a commercial COTS onboarding suite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limits the bespoke agentic differentiator.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ADR-004: Polyglot stack — JVM core services, Python agent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The JVM ecosystem is strong for high-throughput enterprise services and aligns with common bank engineering skills. The Python ecosystem dominates AI/agent frameworks (e.g., LangGraph).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Implement core platform services in Java/Spring Boot and the agent reasoning runtime in Python/LangGraph, with clear service contracts and the MCP boundary separating them.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Best tool for each concern.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Direct access to the richest AI/agent ecosystem.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Mature, well-supported enterprise patterns for core services.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Two toolchains and skill sets to maintain.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Cross-language contracts require discipline.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More complex CI/CD and dependency management.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All-JVM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weaker AI/agent ecosystem.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All-Python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less ideal for high-throughput enterprise services and existing bank skills.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ADR-005: Target 99.95% via dual-AZ active-active, with active-passive 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The platform serves a regional bank with modest volumes but regulated, customer-facing onboarding. Availability must be balanced against cost and operational complexity.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Target 99.95% availability with active-active deployment across two AZs in the primary region, plus an active-passive DR site. Set RTO at most 15 minutes and RPO near zero for critical stores. Multi-region active-active is deferred.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Strong resilience appropriate to regulated onboarding at a sensible cost.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Clear, testable DR posture.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Preserves a path to multi-region if volumes grow.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Lower than 99.99%.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full regional outage relies on DR failover (minutes of impact).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Standby capacity carries some cost.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99.9% active-passive only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weaker than appropriate for regulated onboarding.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99.99% multi-region active-active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over-engineered and costly for current scale; path preserved.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ADR-006: Mixed consistency — strong for gating state, eventual elsewhere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Activating a product on stale or incorrect state could cause a regulatory breach, but enforcing global strong consistency everywhere is costly and slow.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Use strong consistency for the client master, product-journey state, activation decisions, and the audit log; accept eventual consistency for caches, read projections, and embeddings. Activation gating always reads the strongly consistent store, never a cache.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Correctness guaranteed where it matters most.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Performance and scalability where a brief lag is harmless.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mixed model adds cognitive load for engineers.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Must rigorously prevent gating reads from hitting caches.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Fully strong consistency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unnecessary latency and cost for non-critical reads.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Fully eventual consistency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risks premature or incorrect product activation.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ADR-007: MCP Gateway as the sole egress to integrations and on-prem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Agents need to reach external services and on-prem systems of record. Allowing direct calls scatters authentication, auditing, rate-limiting, and policy enforcement across the codebase.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Route all tool and system access through the MCP Gateway; agents never call integrations directly. The gateway centralizes authentication, authorization, audit, rate-limiting, and retries.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Single audited, policy-enforced egress point.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Consistent retries and rate-limits across integrations.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Simplifies compliance evidence and access control.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Potential bottleneck or single point of failure if not scaled.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Adds a network hop and some latency.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 gateway itself must be highly available.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Direct service-to-system calls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scattered auth/audit and weaker control.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Per-service sidecar integration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harder central policy/audit and more operational sprawl.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ADR-008: Self-hosted, private-tenant LLMs behind an internal model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Accepted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June 2026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Onboarding platform architecture</w:t>
            </w:r>
          </w:p>
        </w:tc>
      </w:tr>
    </w:tbl>
    <w:p>
      <w:pPr>
        <w:pStyle w:val="Heading2"/>
      </w:pPr>
      <w:r>
        <w:t xml:space="preserve">Context</w:t>
      </w:r>
    </w:p>
    <w:p>
      <w:pPr>
        <w:spacing w:after="120"/>
      </w:pPr>
      <w:r>
        <w:t xml:space="preserve">Onboarding processes regulated client PII subject to US data-residency expectations, and the bank prohibits SaaS dependencies for this platform.</w:t>
      </w:r>
    </w:p>
    <w:p>
      <w:pPr>
        <w:pStyle w:val="Heading2"/>
      </w:pPr>
      <w:r>
        <w:t xml:space="preserve">Decision</w:t>
      </w:r>
    </w:p>
    <w:p>
      <w:pPr>
        <w:spacing w:after="120"/>
      </w:pPr>
      <w:r>
        <w:t xml:space="preserve">Serve LLMs from self-hosted or private-tenant infrastructure behind an internal Model Gateway, so no client data is sent to external model APIs. The gateway enforces per-agent cost and rate budgets.</w:t>
      </w:r>
    </w:p>
    <w:p>
      <w:pPr>
        <w:pStyle w:val="Heading2"/>
      </w:pPr>
      <w:r>
        <w:t xml:space="preserve">Consequences</w:t>
      </w:r>
    </w:p>
    <w:p>
      <w:pPr>
        <w:spacing w:after="40"/>
      </w:pPr>
      <w:r>
        <w:rPr>
          <w:b/>
          <w:bCs/>
          <w:color w:val="375623"/>
        </w:rPr>
        <w:t xml:space="preserve">Positive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Client data never leaves bank control; supports residency compliance.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Cost control and governance at scale.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Centralized rate/cost limiting and model lifecycle.</w:t>
      </w:r>
    </w:p>
    <w:p>
      <w:pPr>
        <w:spacing w:after="40" w:before="80"/>
      </w:pPr>
      <w:r>
        <w:rPr>
          <w:b/>
          <w:bCs/>
          <w:color w:val="833C00"/>
        </w:rPr>
        <w:t xml:space="preserve">Negative / costs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Infrastructure and GPU operations burden.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Responsibility for model lifecycle and evaluation.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May trail the latest frontier hosted models.</w:t>
      </w:r>
    </w:p>
    <w:p>
      <w:pPr>
        <w:pStyle w:val="Heading2"/>
      </w:pPr>
      <w:r>
        <w:t xml:space="preserve">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 not chosen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External LLM APIs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data egress and residency/regulatory risk.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No LLMs (pure rules engine)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Rejected — forfeits the agentic reasoning value.</w:t>
            </w:r>
          </w:p>
        </w:tc>
      </w:tr>
    </w:tbl>
    <w:p>
      <w:pPr>
        <w:spacing w:before="240"/>
      </w:pPr>
      <w:r>
        <w:rPr>
          <w:i/>
          <w:iCs/>
          <w:color w:val="80808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Draft v1.0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Architecture Decision Records — Agentic Client Onboarding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2026-06-06T16:24:34.884Z</dcterms:created>
  <dcterms:modified xsi:type="dcterms:W3CDTF">2026-06-06T16:24:34.885Z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