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173B5B"/>
          <w:sz w:val="48"/>
        </w:rPr>
        <w:t>Exam 2 drafting outline</w:t>
      </w:r>
    </w:p>
    <w:p>
      <w:pPr>
        <w:spacing w:after="320"/>
      </w:pPr>
      <w:r>
        <w:rPr>
          <w:rFonts w:ascii="Aptos" w:hAnsi="Aptos"/>
          <w:color w:val="60758A"/>
          <w:sz w:val="22"/>
        </w:rPr>
        <w:t>Instructor-only / ECON-241 / Fall 2026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173B5B"/>
          <w:sz w:val="32"/>
        </w:rPr>
        <w:t>Assessment purpose</w:t>
      </w:r>
    </w:p>
    <w:p>
      <w:pPr>
        <w:spacing w:after="160" w:line="288" w:lineRule="auto"/>
      </w:pPr>
      <w:r>
        <w:rPr>
          <w:rFonts w:ascii="Aptos" w:hAnsi="Aptos"/>
          <w:color w:val="243B53"/>
          <w:sz w:val="21"/>
        </w:rPr>
        <w:t>Exam 2 integrates price discrimination, strategic interaction, bundling, information, welfare, and behavioral pricing. Elasticity returns in an applied question because Exam 1 item analysis showed that many students substituted slope for percentage responsiveness. The revised item requires an interpretation in the market story, not formula recall alone.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173B5B"/>
          <w:sz w:val="32"/>
        </w:rPr>
        <w:t>Item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Aptos" w:hAnsi="Aptos"/>
                <w:b/>
                <w:color w:val="173B5B"/>
                <w:sz w:val="20"/>
              </w:rPr>
              <w:t>Item</w:t>
            </w:r>
          </w:p>
        </w:tc>
        <w:tc>
          <w:tcPr>
            <w:tcW w:type="dxa" w:w="3216"/>
          </w:tcPr>
          <w:p>
            <w:r>
              <w:rPr>
                <w:rFonts w:ascii="Aptos" w:hAnsi="Aptos"/>
                <w:b/>
                <w:color w:val="173B5B"/>
                <w:sz w:val="20"/>
              </w:rPr>
              <w:t>Focus</w:t>
            </w:r>
          </w:p>
        </w:tc>
        <w:tc>
          <w:tcPr>
            <w:tcW w:type="dxa" w:w="3216"/>
          </w:tcPr>
          <w:p>
            <w:r>
              <w:rPr>
                <w:rFonts w:ascii="Aptos" w:hAnsi="Aptos"/>
                <w:b/>
                <w:color w:val="173B5B"/>
                <w:sz w:val="20"/>
              </w:rPr>
              <w:t>Evidence of learning</w:t>
            </w:r>
          </w:p>
        </w:tc>
      </w:tr>
      <w:tr>
        <w:tc>
          <w:tcPr>
            <w:tcW w:type="dxa" w:w="3216"/>
          </w:tcPr>
          <w:p>
            <w:r>
              <w:rPr>
                <w:rFonts w:ascii="Aptos" w:hAnsi="Aptos"/>
                <w:color w:val="243B53"/>
                <w:sz w:val="19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rFonts w:ascii="Aptos" w:hAnsi="Aptos"/>
                <w:color w:val="243B53"/>
                <w:sz w:val="19"/>
              </w:rPr>
              <w:t>Elasticity and revenue</w:t>
            </w:r>
          </w:p>
        </w:tc>
        <w:tc>
          <w:tcPr>
            <w:tcW w:type="dxa" w:w="3216"/>
          </w:tcPr>
          <w:p>
            <w:r>
              <w:rPr>
                <w:rFonts w:ascii="Aptos" w:hAnsi="Aptos"/>
                <w:color w:val="243B53"/>
                <w:sz w:val="19"/>
              </w:rPr>
              <w:t>Calculate midpoint elasticity and explain the revenue consequence.</w:t>
            </w:r>
          </w:p>
        </w:tc>
      </w:tr>
      <w:tr>
        <w:tc>
          <w:tcPr>
            <w:tcW w:type="dxa" w:w="3216"/>
          </w:tcPr>
          <w:p>
            <w:r>
              <w:rPr>
                <w:rFonts w:ascii="Aptos" w:hAnsi="Aptos"/>
                <w:color w:val="243B53"/>
                <w:sz w:val="19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rFonts w:ascii="Aptos" w:hAnsi="Aptos"/>
                <w:color w:val="243B53"/>
                <w:sz w:val="19"/>
              </w:rPr>
              <w:t>Tier design</w:t>
            </w:r>
          </w:p>
        </w:tc>
        <w:tc>
          <w:tcPr>
            <w:tcW w:type="dxa" w:w="3216"/>
          </w:tcPr>
          <w:p>
            <w:r>
              <w:rPr>
                <w:rFonts w:ascii="Aptos" w:hAnsi="Aptos"/>
                <w:color w:val="243B53"/>
                <w:sz w:val="19"/>
              </w:rPr>
              <w:t>Identify a fence, run a downgrade test, and revise a weak menu.</w:t>
            </w:r>
          </w:p>
        </w:tc>
      </w:tr>
      <w:tr>
        <w:tc>
          <w:tcPr>
            <w:tcW w:type="dxa" w:w="3216"/>
          </w:tcPr>
          <w:p>
            <w:r>
              <w:rPr>
                <w:rFonts w:ascii="Aptos" w:hAnsi="Aptos"/>
                <w:color w:val="243B53"/>
                <w:sz w:val="19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rFonts w:ascii="Aptos" w:hAnsi="Aptos"/>
                <w:color w:val="243B53"/>
                <w:sz w:val="19"/>
              </w:rPr>
              <w:t>Competitor entry</w:t>
            </w:r>
          </w:p>
        </w:tc>
        <w:tc>
          <w:tcPr>
            <w:tcW w:type="dxa" w:w="3216"/>
          </w:tcPr>
          <w:p>
            <w:r>
              <w:rPr>
                <w:rFonts w:ascii="Aptos" w:hAnsi="Aptos"/>
                <w:color w:val="243B53"/>
                <w:sz w:val="19"/>
              </w:rPr>
              <w:t>Use best-response reasoning and state the missing assumption.</w:t>
            </w:r>
          </w:p>
        </w:tc>
      </w:tr>
      <w:tr>
        <w:tc>
          <w:tcPr>
            <w:tcW w:type="dxa" w:w="3216"/>
          </w:tcPr>
          <w:p>
            <w:r>
              <w:rPr>
                <w:rFonts w:ascii="Aptos" w:hAnsi="Aptos"/>
                <w:color w:val="243B53"/>
                <w:sz w:val="19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rFonts w:ascii="Aptos" w:hAnsi="Aptos"/>
                <w:color w:val="243B53"/>
                <w:sz w:val="19"/>
              </w:rPr>
              <w:t>Bundle and welfare</w:t>
            </w:r>
          </w:p>
        </w:tc>
        <w:tc>
          <w:tcPr>
            <w:tcW w:type="dxa" w:w="3216"/>
          </w:tcPr>
          <w:p>
            <w:r>
              <w:rPr>
                <w:rFonts w:ascii="Aptos" w:hAnsi="Aptos"/>
                <w:color w:val="243B53"/>
                <w:sz w:val="19"/>
              </w:rPr>
              <w:t>Separate total-surplus analysis from distributional concern.</w:t>
            </w:r>
          </w:p>
        </w:tc>
      </w:tr>
      <w:tr>
        <w:tc>
          <w:tcPr>
            <w:tcW w:type="dxa" w:w="3216"/>
          </w:tcPr>
          <w:p>
            <w:r>
              <w:rPr>
                <w:rFonts w:ascii="Aptos" w:hAnsi="Aptos"/>
                <w:color w:val="243B53"/>
                <w:sz w:val="19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rFonts w:ascii="Aptos" w:hAnsi="Aptos"/>
                <w:color w:val="243B53"/>
                <w:sz w:val="19"/>
              </w:rPr>
              <w:t>Information and fairness</w:t>
            </w:r>
          </w:p>
        </w:tc>
        <w:tc>
          <w:tcPr>
            <w:tcW w:type="dxa" w:w="3216"/>
          </w:tcPr>
          <w:p>
            <w:r>
              <w:rPr>
                <w:rFonts w:ascii="Aptos" w:hAnsi="Aptos"/>
                <w:color w:val="243B53"/>
                <w:sz w:val="19"/>
              </w:rPr>
              <w:t>Evaluate a proposed signal and identify a consumer-risk constraint.</w:t>
            </w:r>
          </w:p>
        </w:tc>
      </w:tr>
    </w:tbl>
    <w:p>
      <w:pPr>
        <w:pStyle w:val="Heading1"/>
        <w:spacing w:before="240" w:after="100"/>
      </w:pPr>
      <w:r>
        <w:rPr>
          <w:rFonts w:ascii="Aptos" w:hAnsi="Aptos"/>
          <w:b/>
          <w:color w:val="173B5B"/>
          <w:sz w:val="32"/>
        </w:rPr>
        <w:t>Feedback notes</w:t>
      </w:r>
    </w:p>
    <w:p>
      <w:pPr>
        <w:spacing w:after="160" w:line="288" w:lineRule="auto"/>
      </w:pPr>
      <w:r>
        <w:rPr>
          <w:rFonts w:ascii="Aptos" w:hAnsi="Aptos"/>
          <w:color w:val="243B53"/>
          <w:sz w:val="21"/>
        </w:rPr>
        <w:t>Use feedback to name the missing distinction and the next practice move. For a slope confusion, ask the student to write the percentage-change formula before interpreting the graph. For a weak tier design, ask the student to state the feature a high-value customer would lose by downgrading. For a welfare claim, ask whose options change and which trades disappear.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173B5B"/>
          <w:sz w:val="32"/>
        </w:rPr>
        <w:t>Planning constraint</w:t>
      </w:r>
    </w:p>
    <w:p>
      <w:pPr>
        <w:spacing w:after="160" w:line="288" w:lineRule="auto"/>
      </w:pPr>
      <w:r>
        <w:rPr>
          <w:rFonts w:ascii="Aptos" w:hAnsi="Aptos"/>
          <w:color w:val="243B53"/>
          <w:sz w:val="21"/>
        </w:rPr>
        <w:t>The exam should measure model selection and interpretation without rewarding a memorized template. Every item needs an identifiable decision, a relevant constraint, enough evidence to support a conditional conclusion, and a realistic limitation.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0758A"/>
        <w:sz w:val="16"/>
      </w:rPr>
      <w:t>ECON-241 / Fall 2026 / Seed asset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