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173B5B"/>
          <w:sz w:val="48"/>
        </w:rPr>
        <w:t>Pricing Strategy Session</w:t>
      </w:r>
    </w:p>
    <w:p>
      <w:pPr>
        <w:spacing w:after="320"/>
      </w:pPr>
      <w:r>
        <w:rPr>
          <w:rFonts w:ascii="Aptos" w:hAnsi="Aptos"/>
          <w:color w:val="60758A"/>
          <w:sz w:val="22"/>
        </w:rPr>
        <w:t>ECON-241 / VidStack case, rubric, and submission guide</w:t>
      </w:r>
    </w:p>
    <w:p>
      <w:pPr>
        <w:pStyle w:val="Heading1"/>
        <w:spacing w:before="240" w:after="100"/>
      </w:pPr>
      <w:r>
        <w:rPr>
          <w:rFonts w:ascii="Aptos" w:hAnsi="Aptos"/>
          <w:b/>
          <w:color w:val="173B5B"/>
          <w:sz w:val="32"/>
        </w:rPr>
        <w:t>The decision</w:t>
      </w:r>
    </w:p>
    <w:p>
      <w:pPr>
        <w:spacing w:after="160" w:line="288" w:lineRule="auto"/>
      </w:pPr>
      <w:r>
        <w:rPr>
          <w:rFonts w:ascii="Aptos" w:hAnsi="Aptos"/>
          <w:color w:val="243B53"/>
          <w:sz w:val="21"/>
        </w:rPr>
        <w:t>VidStack raised its flat monthly price from $12.99 to $15.00 and lost 18 percent of subscribers. The observed loss is evidence of a problem, not a complete demand estimate. Your task is to build a conditional pricing recommendation that explains which customer groups may be hidden inside the aggregate churn result, how their willingness to pay differs, and which further evidence would change your mind.</w:t>
      </w:r>
    </w:p>
    <w:p>
      <w:pPr>
        <w:pStyle w:val="Heading1"/>
        <w:spacing w:before="240" w:after="100"/>
      </w:pPr>
      <w:r>
        <w:rPr>
          <w:rFonts w:ascii="Aptos" w:hAnsi="Aptos"/>
          <w:b/>
          <w:color w:val="173B5B"/>
          <w:sz w:val="32"/>
        </w:rPr>
        <w:t>What to submit</w:t>
      </w:r>
    </w:p>
    <w:p>
      <w:pPr>
        <w:pStyle w:val="ListBullet"/>
      </w:pPr>
      <w:r>
        <w:rPr>
          <w:rFonts w:ascii="Aptos" w:hAnsi="Aptos"/>
          <w:color w:val="243B53"/>
          <w:sz w:val="21"/>
        </w:rPr>
        <w:t>A short problem frame that identifies the customer groups and the constraints that matter.</w:t>
      </w:r>
    </w:p>
    <w:p>
      <w:pPr>
        <w:pStyle w:val="ListBullet"/>
      </w:pPr>
      <w:r>
        <w:rPr>
          <w:rFonts w:ascii="Aptos" w:hAnsi="Aptos"/>
          <w:color w:val="243B53"/>
          <w:sz w:val="21"/>
        </w:rPr>
        <w:t>A three-tier table with a price, target use case, feature bundle, and concrete fence for each tier.</w:t>
      </w:r>
    </w:p>
    <w:p>
      <w:pPr>
        <w:pStyle w:val="ListBullet"/>
      </w:pPr>
      <w:r>
        <w:rPr>
          <w:rFonts w:ascii="Aptos" w:hAnsi="Aptos"/>
          <w:color w:val="243B53"/>
          <w:sz w:val="21"/>
        </w:rPr>
        <w:t>A course-concept explanation using elasticity, willingness to pay, market power, or price discrimination accurately.</w:t>
      </w:r>
    </w:p>
    <w:p>
      <w:pPr>
        <w:pStyle w:val="ListBullet"/>
      </w:pPr>
      <w:r>
        <w:rPr>
          <w:rFonts w:ascii="Aptos" w:hAnsi="Aptos"/>
          <w:color w:val="243B53"/>
          <w:sz w:val="21"/>
        </w:rPr>
        <w:t>A revision after a cannibalization challenge and a note explaining why the revised fence works better.</w:t>
      </w:r>
    </w:p>
    <w:p>
      <w:pPr>
        <w:pStyle w:val="ListBullet"/>
      </w:pPr>
      <w:r>
        <w:rPr>
          <w:rFonts w:ascii="Aptos" w:hAnsi="Aptos"/>
          <w:color w:val="243B53"/>
          <w:sz w:val="21"/>
        </w:rPr>
        <w:t>An evidence plan identifying the segment-level data or experiment required before treating the prices as a forecast.</w:t>
      </w:r>
    </w:p>
    <w:p>
      <w:pPr>
        <w:pStyle w:val="Heading1"/>
        <w:spacing w:before="240" w:after="100"/>
      </w:pPr>
      <w:r>
        <w:rPr>
          <w:rFonts w:ascii="Aptos" w:hAnsi="Aptos"/>
          <w:b/>
          <w:color w:val="173B5B"/>
          <w:sz w:val="32"/>
        </w:rPr>
        <w:t>Rubric</w:t>
      </w:r>
    </w:p>
    <w:tbl>
      <w:tblPr>
        <w:tblStyle w:val="TableGrid"/>
        <w:tblW w:type="auto" w:w="0"/>
        <w:tblLook w:firstColumn="1" w:firstRow="1" w:lastColumn="0" w:lastRow="0" w:noHBand="0" w:noVBand="1" w:val="04A0"/>
      </w:tblPr>
      <w:tblGrid>
        <w:gridCol w:w="3216"/>
        <w:gridCol w:w="3216"/>
        <w:gridCol w:w="3216"/>
      </w:tblGrid>
      <w:tr>
        <w:tc>
          <w:tcPr>
            <w:tcW w:type="dxa" w:w="3216"/>
          </w:tcPr>
          <w:p>
            <w:r>
              <w:rPr>
                <w:rFonts w:ascii="Aptos" w:hAnsi="Aptos"/>
                <w:b/>
                <w:color w:val="173B5B"/>
                <w:sz w:val="20"/>
              </w:rPr>
              <w:t>Criterion</w:t>
            </w:r>
          </w:p>
        </w:tc>
        <w:tc>
          <w:tcPr>
            <w:tcW w:type="dxa" w:w="3216"/>
          </w:tcPr>
          <w:p>
            <w:r>
              <w:rPr>
                <w:rFonts w:ascii="Aptos" w:hAnsi="Aptos"/>
                <w:b/>
                <w:color w:val="173B5B"/>
                <w:sz w:val="20"/>
              </w:rPr>
              <w:t>What it measures</w:t>
            </w:r>
          </w:p>
        </w:tc>
        <w:tc>
          <w:tcPr>
            <w:tcW w:type="dxa" w:w="3216"/>
          </w:tcPr>
          <w:p>
            <w:r>
              <w:rPr>
                <w:rFonts w:ascii="Aptos" w:hAnsi="Aptos"/>
                <w:b/>
                <w:color w:val="173B5B"/>
                <w:sz w:val="20"/>
              </w:rPr>
              <w:t>What strong work shows</w:t>
            </w:r>
          </w:p>
        </w:tc>
      </w:tr>
      <w:tr>
        <w:tc>
          <w:tcPr>
            <w:tcW w:type="dxa" w:w="3216"/>
          </w:tcPr>
          <w:p>
            <w:r>
              <w:rPr>
                <w:rFonts w:ascii="Aptos" w:hAnsi="Aptos"/>
                <w:color w:val="243B53"/>
                <w:sz w:val="19"/>
              </w:rPr>
              <w:t>Framing</w:t>
            </w:r>
          </w:p>
        </w:tc>
        <w:tc>
          <w:tcPr>
            <w:tcW w:type="dxa" w:w="3216"/>
          </w:tcPr>
          <w:p>
            <w:r>
              <w:rPr>
                <w:rFonts w:ascii="Aptos" w:hAnsi="Aptos"/>
                <w:color w:val="243B53"/>
                <w:sz w:val="19"/>
              </w:rPr>
              <w:t>Questions and assumptions before a pricing answer</w:t>
            </w:r>
          </w:p>
        </w:tc>
        <w:tc>
          <w:tcPr>
            <w:tcW w:type="dxa" w:w="3216"/>
          </w:tcPr>
          <w:p>
            <w:r>
              <w:rPr>
                <w:rFonts w:ascii="Aptos" w:hAnsi="Aptos"/>
                <w:color w:val="243B53"/>
                <w:sz w:val="19"/>
              </w:rPr>
              <w:t>Names segments, constraints, and the uncertainty inside the subscriber-loss result.</w:t>
            </w:r>
          </w:p>
        </w:tc>
      </w:tr>
      <w:tr>
        <w:tc>
          <w:tcPr>
            <w:tcW w:type="dxa" w:w="3216"/>
          </w:tcPr>
          <w:p>
            <w:r>
              <w:rPr>
                <w:rFonts w:ascii="Aptos" w:hAnsi="Aptos"/>
                <w:color w:val="243B53"/>
                <w:sz w:val="19"/>
              </w:rPr>
              <w:t>Grounding</w:t>
            </w:r>
          </w:p>
        </w:tc>
        <w:tc>
          <w:tcPr>
            <w:tcW w:type="dxa" w:w="3216"/>
          </w:tcPr>
          <w:p>
            <w:r>
              <w:rPr>
                <w:rFonts w:ascii="Aptos" w:hAnsi="Aptos"/>
                <w:color w:val="243B53"/>
                <w:sz w:val="19"/>
              </w:rPr>
              <w:t>Accurate use of course models</w:t>
            </w:r>
          </w:p>
        </w:tc>
        <w:tc>
          <w:tcPr>
            <w:tcW w:type="dxa" w:w="3216"/>
          </w:tcPr>
          <w:p>
            <w:r>
              <w:rPr>
                <w:rFonts w:ascii="Aptos" w:hAnsi="Aptos"/>
                <w:color w:val="243B53"/>
                <w:sz w:val="19"/>
              </w:rPr>
              <w:t>Uses percentage responsiveness, surplus, cost, or segmentation without confusing related terms.</w:t>
            </w:r>
          </w:p>
        </w:tc>
      </w:tr>
      <w:tr>
        <w:tc>
          <w:tcPr>
            <w:tcW w:type="dxa" w:w="3216"/>
          </w:tcPr>
          <w:p>
            <w:r>
              <w:rPr>
                <w:rFonts w:ascii="Aptos" w:hAnsi="Aptos"/>
                <w:color w:val="243B53"/>
                <w:sz w:val="19"/>
              </w:rPr>
              <w:t>Iteration</w:t>
            </w:r>
          </w:p>
        </w:tc>
        <w:tc>
          <w:tcPr>
            <w:tcW w:type="dxa" w:w="3216"/>
          </w:tcPr>
          <w:p>
            <w:r>
              <w:rPr>
                <w:rFonts w:ascii="Aptos" w:hAnsi="Aptos"/>
                <w:color w:val="243B53"/>
                <w:sz w:val="19"/>
              </w:rPr>
              <w:t>Revision under a cannibalization challenge</w:t>
            </w:r>
          </w:p>
        </w:tc>
        <w:tc>
          <w:tcPr>
            <w:tcW w:type="dxa" w:w="3216"/>
          </w:tcPr>
          <w:p>
            <w:r>
              <w:rPr>
                <w:rFonts w:ascii="Aptos" w:hAnsi="Aptos"/>
                <w:color w:val="243B53"/>
                <w:sz w:val="19"/>
              </w:rPr>
              <w:t>Changes the mechanism when a downgrade risk exposes a weak fence.</w:t>
            </w:r>
          </w:p>
        </w:tc>
      </w:tr>
      <w:tr>
        <w:tc>
          <w:tcPr>
            <w:tcW w:type="dxa" w:w="3216"/>
          </w:tcPr>
          <w:p>
            <w:r>
              <w:rPr>
                <w:rFonts w:ascii="Aptos" w:hAnsi="Aptos"/>
                <w:color w:val="243B53"/>
                <w:sz w:val="19"/>
              </w:rPr>
              <w:t>Final design</w:t>
            </w:r>
          </w:p>
        </w:tc>
        <w:tc>
          <w:tcPr>
            <w:tcW w:type="dxa" w:w="3216"/>
          </w:tcPr>
          <w:p>
            <w:r>
              <w:rPr>
                <w:rFonts w:ascii="Aptos" w:hAnsi="Aptos"/>
                <w:color w:val="243B53"/>
                <w:sz w:val="19"/>
              </w:rPr>
              <w:t>A coherent and defensible recommendation</w:t>
            </w:r>
          </w:p>
        </w:tc>
        <w:tc>
          <w:tcPr>
            <w:tcW w:type="dxa" w:w="3216"/>
          </w:tcPr>
          <w:p>
            <w:r>
              <w:rPr>
                <w:rFonts w:ascii="Aptos" w:hAnsi="Aptos"/>
                <w:color w:val="243B53"/>
                <w:sz w:val="19"/>
              </w:rPr>
              <w:t>Connects the tier table to evidence and states what the current record cannot establish.</w:t>
            </w:r>
          </w:p>
        </w:tc>
      </w:tr>
    </w:tbl>
    <w:p>
      <w:pPr>
        <w:pStyle w:val="Heading1"/>
        <w:spacing w:before="240" w:after="100"/>
      </w:pPr>
      <w:r>
        <w:rPr>
          <w:rFonts w:ascii="Aptos" w:hAnsi="Aptos"/>
          <w:b/>
          <w:color w:val="173B5B"/>
          <w:sz w:val="32"/>
        </w:rPr>
        <w:t>Working standard</w:t>
      </w:r>
    </w:p>
    <w:p>
      <w:pPr>
        <w:spacing w:after="160" w:line="288" w:lineRule="auto"/>
      </w:pPr>
      <w:r>
        <w:rPr>
          <w:rFonts w:ascii="Aptos" w:hAnsi="Aptos"/>
          <w:color w:val="243B53"/>
          <w:sz w:val="21"/>
        </w:rPr>
        <w:t>In ECON-241, a model is a tool for a decision rather than a graph to memorize. Start by naming the decision-maker and the constraint, choose the comparison the model requires, show the calculation or table, interpret the result in the market story, and state the limitation that would most change the recommendation. The VidStack materials are intentionally specific enough to support analysis and incomplete enough to require judgment. Do not turn an observed pattern into a causal claim without identifying the counterfactual and the evidence that would separate competing explanations.</w:t>
      </w:r>
    </w:p>
    <w:p>
      <w:pPr>
        <w:spacing w:after="160" w:line="288" w:lineRule="auto"/>
      </w:pPr>
      <w:r>
        <w:rPr>
          <w:rFonts w:ascii="Aptos" w:hAnsi="Aptos"/>
          <w:color w:val="243B53"/>
          <w:sz w:val="21"/>
        </w:rPr>
        <w:t>The Atlas session can ask questions, point you to the course corpus, and test a proposed fence. It cannot pick the prices or author the final recommendation. A score is based on the reasoning visible in your own work, not on how polished a final table appears.</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758A"/>
        <w:sz w:val="16"/>
      </w:rPr>
      <w:t>ECON-241 / Fall 2026 / Seed asset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