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METADATA:</w:t>
      </w:r>
    </w:p>
    <w:p>
      <w:r>
        <w:t>{</w:t>
        <w:br/>
        <w:t xml:space="preserve">  "title": "Employee Tools FAQ",</w:t>
        <w:br/>
        <w:t xml:space="preserve">  "tags": [</w:t>
        <w:br/>
        <w:t xml:space="preserve">    "faq",</w:t>
        <w:br/>
        <w:t xml:space="preserve">    "tools",</w:t>
        <w:br/>
        <w:t xml:space="preserve">    "support"</w:t>
        <w:br/>
        <w:t xml:space="preserve">  ],</w:t>
        <w:br/>
        <w:t xml:space="preserve">  "date": "2026-05-28"</w:t>
        <w:br/>
        <w:t>}</w:t>
      </w:r>
    </w:p>
    <w:p>
      <w:pPr>
        <w:pStyle w:val="Heading1"/>
      </w:pPr>
      <w:r>
        <w:t>Employee Tools FAQ</w:t>
      </w:r>
    </w:p>
    <w:p>
      <w:r>
        <w:t>Q: How do I request a new laptop?</w:t>
        <w:br/>
        <w:t>A: Submit a ticket through IT support.</w:t>
      </w:r>
    </w:p>
    <w:p>
      <w:r>
        <w:t>Q: Where do I find the VPN configuration?</w:t>
        <w:br/>
        <w:t>A: See the network access page in the intranet.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