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Georgia" w:cs="Georgia" w:eastAsia="Georgia" w:hAnsi="Georgia"/>
          <w:b/>
          <w:bCs/>
          <w:color w:val="A6803D"/>
          <w:sz w:val="28"/>
          <w:szCs w:val="28"/>
        </w:rPr>
        <w:t xml:space="preserve">PROJECT REPORT</w:t>
      </w:r>
    </w:p>
    <w:p>
      <w:pPr>
        <w:spacing w:after="120" w:before="200"/>
        <w:jc w:val="center"/>
      </w:pPr>
      <w:r>
        <w:rPr>
          <w:rFonts w:ascii="Georgia" w:cs="Georgia" w:eastAsia="Georgia" w:hAnsi="Georgia"/>
          <w:b/>
          <w:bCs/>
          <w:color w:val="1C2B45"/>
          <w:sz w:val="44"/>
          <w:szCs w:val="44"/>
        </w:rPr>
        <w:t xml:space="preserve">University IA &amp; External Marks Management System</w:t>
      </w:r>
    </w:p>
    <w:p>
      <w:pPr>
        <w:spacing w:after="800"/>
        <w:jc w:val="center"/>
      </w:pPr>
      <w:r>
        <w:rPr>
          <w:i/>
          <w:iCs/>
          <w:color w:val="4A4740"/>
          <w:sz w:val="24"/>
          <w:szCs w:val="24"/>
        </w:rPr>
        <w:t xml:space="preserve">A role-based web application for examination mark entry, review, and approval</w:t>
      </w:r>
    </w:p>
    <w:p>
      <w:pPr>
        <w:spacing w:before="1600"/>
        <w:jc w:val="center"/>
      </w:pPr>
      <w:r>
        <w:rPr>
          <w:b/>
          <w:bCs/>
          <w:color w:val="1C2B45"/>
          <w:sz w:val="22"/>
          <w:szCs w:val="22"/>
        </w:rPr>
        <w:t xml:space="preserve">Technology Stack</w:t>
      </w:r>
    </w:p>
    <w:p>
      <w:pPr>
        <w:spacing w:after="40"/>
        <w:jc w:val="center"/>
      </w:pPr>
      <w:r>
        <w:rPr>
          <w:color w:val="4A4740"/>
          <w:sz w:val="20"/>
          <w:szCs w:val="20"/>
        </w:rPr>
        <w:t xml:space="preserve">Backend: Java 21 · Spring Boot 3 · Spring Security (JWT) · PostgreSQL · Flyway</w:t>
      </w:r>
    </w:p>
    <w:p>
      <w:pPr>
        <w:spacing w:after="40"/>
        <w:jc w:val="center"/>
      </w:pPr>
      <w:r>
        <w:rPr>
          <w:color w:val="4A4740"/>
          <w:sz w:val="20"/>
          <w:szCs w:val="20"/>
        </w:rPr>
        <w:t xml:space="preserve">Frontend: React 18 · TypeScript · Vite</w:t>
      </w:r>
    </w:p>
    <w:p>
      <w:pPr>
        <w:jc w:val="center"/>
      </w:pPr>
      <w:r>
        <w:rPr>
          <w:color w:val="4A4740"/>
          <w:sz w:val="20"/>
          <w:szCs w:val="20"/>
        </w:rPr>
        <w:t xml:space="preserve">Infrastructure: Docker Compose · Nginx · Let’s Encrypt</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Table of Contents</w:t>
      </w:r>
    </w:p>
    <w:p>
      <w:pPr>
        <w:spacing w:after="140"/>
      </w:pPr>
      <w:r>
        <w:rPr>
          <w:color w:val="1C2B45"/>
          <w:sz w:val="24"/>
          <w:szCs w:val="24"/>
        </w:rPr>
        <w:t xml:space="preserve">1. Introduction</w:t>
      </w:r>
    </w:p>
    <w:p>
      <w:pPr>
        <w:spacing w:after="140"/>
      </w:pPr>
      <w:r>
        <w:rPr>
          <w:color w:val="1C2B45"/>
          <w:sz w:val="24"/>
          <w:szCs w:val="24"/>
        </w:rPr>
        <w:t xml:space="preserve">2. System Architecture</w:t>
      </w:r>
    </w:p>
    <w:p>
      <w:pPr>
        <w:spacing w:after="140"/>
      </w:pPr>
      <w:r>
        <w:rPr>
          <w:color w:val="1C2B45"/>
          <w:sz w:val="24"/>
          <w:szCs w:val="24"/>
        </w:rPr>
        <w:t xml:space="preserve">3. Database Design</w:t>
      </w:r>
    </w:p>
    <w:p>
      <w:pPr>
        <w:spacing w:after="140"/>
      </w:pPr>
      <w:r>
        <w:rPr>
          <w:color w:val="1C2B45"/>
          <w:sz w:val="24"/>
          <w:szCs w:val="24"/>
        </w:rPr>
        <w:t xml:space="preserve">4. Security Measures</w:t>
      </w:r>
    </w:p>
    <w:p>
      <w:pPr>
        <w:spacing w:after="140"/>
      </w:pPr>
      <w:r>
        <w:rPr>
          <w:color w:val="1C2B45"/>
          <w:sz w:val="24"/>
          <w:szCs w:val="24"/>
        </w:rPr>
        <w:t xml:space="preserve">5. Features by Role</w:t>
      </w:r>
    </w:p>
    <w:p>
      <w:pPr>
        <w:spacing w:after="140"/>
      </w:pPr>
      <w:r>
        <w:rPr>
          <w:color w:val="1C2B45"/>
          <w:sz w:val="24"/>
          <w:szCs w:val="24"/>
        </w:rPr>
        <w:t xml:space="preserve">6. Local Development Setup</w:t>
      </w:r>
    </w:p>
    <w:p>
      <w:pPr>
        <w:spacing w:after="140"/>
      </w:pPr>
      <w:r>
        <w:rPr>
          <w:color w:val="1C2B45"/>
          <w:sz w:val="24"/>
          <w:szCs w:val="24"/>
        </w:rPr>
        <w:t xml:space="preserve">7. Deployment (Production Hosting)</w:t>
      </w:r>
    </w:p>
    <w:p>
      <w:pPr>
        <w:spacing w:after="140"/>
      </w:pPr>
      <w:r>
        <w:rPr>
          <w:color w:val="1C2B45"/>
          <w:sz w:val="24"/>
          <w:szCs w:val="24"/>
        </w:rPr>
        <w:t xml:space="preserve">8. User Guide — How to Use the System</w:t>
      </w:r>
    </w:p>
    <w:p>
      <w:pPr>
        <w:spacing w:after="140"/>
      </w:pPr>
      <w:r>
        <w:rPr>
          <w:color w:val="1C2B45"/>
          <w:sz w:val="24"/>
          <w:szCs w:val="24"/>
        </w:rPr>
        <w:t xml:space="preserve">9. Possible Future Enhancements</w:t>
      </w:r>
    </w:p>
    <w:p>
      <w:pPr>
        <w:spacing w:after="140"/>
      </w:pPr>
      <w:r>
        <w:rPr>
          <w:color w:val="1C2B45"/>
          <w:sz w:val="24"/>
          <w:szCs w:val="24"/>
        </w:rPr>
        <w:t xml:space="preserve">10. Conclusion</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1. Introduction</w:t>
      </w:r>
    </w:p>
    <w:p>
      <w:pPr>
        <w:pStyle w:val="Heading2"/>
        <w:spacing w:after="140" w:before="280"/>
      </w:pPr>
      <w:r>
        <w:t xml:space="preserve">1.1 Objective</w:t>
      </w:r>
    </w:p>
    <w:p>
      <w:pPr>
        <w:spacing w:after="160"/>
      </w:pPr>
      <w:r>
        <w:rPr>
          <w:color w:val="1B1A17"/>
          <w:sz w:val="22"/>
          <w:szCs w:val="22"/>
        </w:rPr>
        <w:t xml:space="preserve">The IA &amp; External Marks Management System is a role-based web application built for a university examination cell to record, review, and finalize student Internal Assessment (IA) and External examination marks. It replaces manual, spreadsheet-driven mark collection with a controlled digital workflow that enforces who can enter, review, and finalize marks, and keeps a permanent record of every change.</w:t>
      </w:r>
    </w:p>
    <w:p>
      <w:pPr>
        <w:pStyle w:val="Heading2"/>
        <w:spacing w:after="140" w:before="280"/>
      </w:pPr>
      <w:r>
        <w:t xml:space="preserve">1.2 Problem Statement</w:t>
      </w:r>
    </w:p>
    <w:p>
      <w:pPr>
        <w:spacing w:after="160"/>
      </w:pPr>
      <w:r>
        <w:rPr>
          <w:color w:val="1B1A17"/>
          <w:sz w:val="22"/>
          <w:szCs w:val="22"/>
        </w:rPr>
        <w:t xml:space="preserve">Manual handling of IA and external marks across departments is error-prone and hard to audit: marks are often edited after the fact with no record of who changed what, approvals happen informally over email or in person, and students have no controlled way to view only their finalized results. This system addresses that by building the approval chain and audit trail directly into the application.</w:t>
      </w:r>
    </w:p>
    <w:p>
      <w:pPr>
        <w:pStyle w:val="Heading2"/>
        <w:spacing w:after="140" w:before="280"/>
      </w:pPr>
      <w:r>
        <w:t xml:space="preserve">1.3 Scope</w:t>
      </w:r>
    </w:p>
    <w:p>
      <w:pPr>
        <w:pStyle w:val="ListParagraph"/>
        <w:numPr>
          <w:ilvl w:val="0"/>
          <w:numId w:val="2"/>
        </w:numPr>
        <w:spacing w:after="80"/>
      </w:pPr>
      <w:r>
        <w:rPr>
          <w:color w:val="1B1A17"/>
          <w:sz w:val="22"/>
          <w:szCs w:val="22"/>
        </w:rPr>
        <w:t xml:space="preserve">Faculty enter IA and External marks for the subjects and exam cycles they are assigned to.</w:t>
      </w:r>
    </w:p>
    <w:p>
      <w:pPr>
        <w:pStyle w:val="ListParagraph"/>
        <w:numPr>
          <w:ilvl w:val="0"/>
          <w:numId w:val="2"/>
        </w:numPr>
        <w:spacing w:after="80"/>
      </w:pPr>
      <w:r>
        <w:rPr>
          <w:color w:val="1B1A17"/>
          <w:sz w:val="22"/>
          <w:szCs w:val="22"/>
        </w:rPr>
        <w:t xml:space="preserve">Heads of Department (HOD) review and approve or reject submitted marks.</w:t>
      </w:r>
    </w:p>
    <w:p>
      <w:pPr>
        <w:pStyle w:val="ListParagraph"/>
        <w:numPr>
          <w:ilvl w:val="0"/>
          <w:numId w:val="2"/>
        </w:numPr>
        <w:spacing w:after="80"/>
      </w:pPr>
      <w:r>
        <w:rPr>
          <w:color w:val="1B1A17"/>
          <w:sz w:val="22"/>
          <w:szCs w:val="22"/>
        </w:rPr>
        <w:t xml:space="preserve">Administrators give final approval, manage users, departments, subjects, exam cycles, and assignments.</w:t>
      </w:r>
    </w:p>
    <w:p>
      <w:pPr>
        <w:pStyle w:val="ListParagraph"/>
        <w:numPr>
          <w:ilvl w:val="0"/>
          <w:numId w:val="2"/>
        </w:numPr>
        <w:spacing w:after="80"/>
      </w:pPr>
      <w:r>
        <w:rPr>
          <w:color w:val="1B1A17"/>
          <w:sz w:val="22"/>
          <w:szCs w:val="22"/>
        </w:rPr>
        <w:t xml:space="preserve">Students can only view their own finalized results — never marks still in review, and never another student’s record.</w:t>
      </w:r>
    </w:p>
    <w:p>
      <w:pPr>
        <w:pStyle w:val="ListParagraph"/>
        <w:numPr>
          <w:ilvl w:val="0"/>
          <w:numId w:val="2"/>
        </w:numPr>
        <w:spacing w:after="80"/>
      </w:pPr>
      <w:r>
        <w:rPr>
          <w:color w:val="1B1A17"/>
          <w:sz w:val="22"/>
          <w:szCs w:val="22"/>
        </w:rPr>
        <w:t xml:space="preserve">Every change to a mark record is written to an immutable audit log.</w:t>
      </w:r>
    </w:p>
    <w:p>
      <w:pPr>
        <w:pStyle w:val="Heading1"/>
        <w:spacing w:after="200" w:before="400"/>
      </w:pPr>
      <w:r>
        <w:t xml:space="preserve">2. System Architecture</w:t>
      </w:r>
    </w:p>
    <w:p>
      <w:pPr>
        <w:pStyle w:val="Heading2"/>
        <w:spacing w:after="140" w:before="280"/>
      </w:pPr>
      <w:r>
        <w:t xml:space="preserve">2.1 Approval Workflow</w:t>
      </w:r>
    </w:p>
    <w:p>
      <w:pPr>
        <w:spacing w:after="160"/>
      </w:pPr>
      <w:r>
        <w:rPr>
          <w:color w:val="1B1A17"/>
          <w:sz w:val="22"/>
          <w:szCs w:val="22"/>
        </w:rPr>
        <w:t xml:space="preserve">The core of the system is a four-stage approval pipeline. A mark record moves strictly through these stages; each transition is validated on the server and logged.</w:t>
      </w:r>
    </w:p>
    <w:p>
      <w:pPr>
        <w:spacing w:after="200" w:before="120"/>
        <w:jc w:val="center"/>
      </w:pPr>
      <w:r>
        <w:drawing>
          <wp:inline distT="0" distB="0" distL="0" distR="0">
            <wp:extent cx="53340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704975"/>
                    </a:xfrm>
                    <a:prstGeom prst="rect">
                      <a:avLst/>
                    </a:prstGeom>
                  </pic:spPr>
                </pic:pic>
              </a:graphicData>
            </a:graphic>
          </wp:inline>
        </w:drawing>
      </w:r>
    </w:p>
    <w:p>
      <w:pPr>
        <w:pStyle w:val="Heading2"/>
        <w:spacing w:after="140" w:before="280"/>
      </w:pPr>
      <w:r>
        <w:t xml:space="preserve">2.2 Technology Stack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400"/>
      </w:tblGrid>
      <w:tr>
        <w:tc>
          <w:tcPr>
            <w:tcW w:type="dxa" w:w="2200"/>
            <w:shd w:fill="1C2B45" w:val="clear"/>
            <w:tcMar>
              <w:top w:type="dxa" w:w="80"/>
              <w:left w:type="dxa" w:w="100"/>
              <w:bottom w:type="dxa" w:w="80"/>
              <w:right w:type="dxa" w:w="100"/>
            </w:tcMar>
          </w:tcPr>
          <w:p>
            <w:r>
              <w:rPr>
                <w:b/>
                <w:bCs/>
                <w:color w:val="FFFFFF"/>
                <w:sz w:val="20"/>
                <w:szCs w:val="20"/>
              </w:rPr>
              <w:t xml:space="preserve">Layer</w:t>
            </w:r>
          </w:p>
        </w:tc>
        <w:tc>
          <w:tcPr>
            <w:tcW w:type="dxa" w:w="3200"/>
            <w:shd w:fill="1C2B45" w:val="clear"/>
            <w:tcMar>
              <w:top w:type="dxa" w:w="80"/>
              <w:left w:type="dxa" w:w="100"/>
              <w:bottom w:type="dxa" w:w="80"/>
              <w:right w:type="dxa" w:w="100"/>
            </w:tcMar>
          </w:tcPr>
          <w:p>
            <w:r>
              <w:rPr>
                <w:b/>
                <w:bCs/>
                <w:color w:val="FFFFFF"/>
                <w:sz w:val="20"/>
                <w:szCs w:val="20"/>
              </w:rPr>
              <w:t xml:space="preserve">Technology</w:t>
            </w:r>
          </w:p>
        </w:tc>
        <w:tc>
          <w:tcPr>
            <w:tcW w:type="dxa" w:w="4400"/>
            <w:shd w:fill="1C2B45" w:val="clear"/>
            <w:tcMar>
              <w:top w:type="dxa" w:w="80"/>
              <w:left w:type="dxa" w:w="100"/>
              <w:bottom w:type="dxa" w:w="80"/>
              <w:right w:type="dxa" w:w="100"/>
            </w:tcMar>
          </w:tcPr>
          <w:p>
            <w:r>
              <w:rPr>
                <w:b/>
                <w:bCs/>
                <w:color w:val="FFFFFF"/>
                <w:sz w:val="20"/>
                <w:szCs w:val="20"/>
              </w:rPr>
              <w:t xml:space="preserve">Purpose</w:t>
            </w:r>
          </w:p>
        </w:tc>
      </w:tr>
      <w:tr>
        <w:tc>
          <w:tcPr>
            <w:tcW w:type="dxa" w:w="2200"/>
            <w:shd w:fill="FFFFFF" w:val="clear"/>
            <w:tcMar>
              <w:top w:type="dxa" w:w="80"/>
              <w:left w:type="dxa" w:w="100"/>
              <w:bottom w:type="dxa" w:w="80"/>
              <w:right w:type="dxa" w:w="100"/>
            </w:tcMar>
          </w:tcPr>
          <w:p>
            <w:r>
              <w:rPr>
                <w:b w:val="false"/>
                <w:bCs w:val="false"/>
                <w:color w:val="1B1A17"/>
                <w:sz w:val="20"/>
                <w:szCs w:val="20"/>
              </w:rPr>
              <w:t xml:space="preserve">Backend</w:t>
            </w:r>
          </w:p>
        </w:tc>
        <w:tc>
          <w:tcPr>
            <w:tcW w:type="dxa" w:w="3200"/>
            <w:shd w:fill="FFFFFF" w:val="clear"/>
            <w:tcMar>
              <w:top w:type="dxa" w:w="80"/>
              <w:left w:type="dxa" w:w="100"/>
              <w:bottom w:type="dxa" w:w="80"/>
              <w:right w:type="dxa" w:w="100"/>
            </w:tcMar>
          </w:tcPr>
          <w:p>
            <w:r>
              <w:rPr>
                <w:b w:val="false"/>
                <w:bCs w:val="false"/>
                <w:color w:val="1B1A17"/>
                <w:sz w:val="20"/>
                <w:szCs w:val="20"/>
              </w:rPr>
              <w:t xml:space="preserve">Java 21, Spring Boot 3</w:t>
            </w:r>
          </w:p>
        </w:tc>
        <w:tc>
          <w:tcPr>
            <w:tcW w:type="dxa" w:w="4400"/>
            <w:shd w:fill="FFFFFF" w:val="clear"/>
            <w:tcMar>
              <w:top w:type="dxa" w:w="80"/>
              <w:left w:type="dxa" w:w="100"/>
              <w:bottom w:type="dxa" w:w="80"/>
              <w:right w:type="dxa" w:w="100"/>
            </w:tcMar>
          </w:tcPr>
          <w:p>
            <w:r>
              <w:rPr>
                <w:b w:val="false"/>
                <w:bCs w:val="false"/>
                <w:color w:val="1B1A17"/>
                <w:sz w:val="20"/>
                <w:szCs w:val="20"/>
              </w:rPr>
              <w:t xml:space="preserve">REST API, business logic, workflow rules</w:t>
            </w:r>
          </w:p>
        </w:tc>
      </w:tr>
      <w:tr>
        <w:tc>
          <w:tcPr>
            <w:tcW w:type="dxa" w:w="2200"/>
            <w:shd w:fill="FFFFFF" w:val="clear"/>
            <w:tcMar>
              <w:top w:type="dxa" w:w="80"/>
              <w:left w:type="dxa" w:w="100"/>
              <w:bottom w:type="dxa" w:w="80"/>
              <w:right w:type="dxa" w:w="100"/>
            </w:tcMar>
          </w:tcPr>
          <w:p>
            <w:r>
              <w:rPr>
                <w:b w:val="false"/>
                <w:bCs w:val="false"/>
                <w:color w:val="1B1A17"/>
                <w:sz w:val="20"/>
                <w:szCs w:val="20"/>
              </w:rPr>
              <w:t xml:space="preserve">Security</w:t>
            </w:r>
          </w:p>
        </w:tc>
        <w:tc>
          <w:tcPr>
            <w:tcW w:type="dxa" w:w="3200"/>
            <w:shd w:fill="FFFFFF" w:val="clear"/>
            <w:tcMar>
              <w:top w:type="dxa" w:w="80"/>
              <w:left w:type="dxa" w:w="100"/>
              <w:bottom w:type="dxa" w:w="80"/>
              <w:right w:type="dxa" w:w="100"/>
            </w:tcMar>
          </w:tcPr>
          <w:p>
            <w:r>
              <w:rPr>
                <w:b w:val="false"/>
                <w:bCs w:val="false"/>
                <w:color w:val="1B1A17"/>
                <w:sz w:val="20"/>
                <w:szCs w:val="20"/>
              </w:rPr>
              <w:t xml:space="preserve">Spring Security, JWT (jjwt)</w:t>
            </w:r>
          </w:p>
        </w:tc>
        <w:tc>
          <w:tcPr>
            <w:tcW w:type="dxa" w:w="4400"/>
            <w:shd w:fill="FFFFFF" w:val="clear"/>
            <w:tcMar>
              <w:top w:type="dxa" w:w="80"/>
              <w:left w:type="dxa" w:w="100"/>
              <w:bottom w:type="dxa" w:w="80"/>
              <w:right w:type="dxa" w:w="100"/>
            </w:tcMar>
          </w:tcPr>
          <w:p>
            <w:r>
              <w:rPr>
                <w:b w:val="false"/>
                <w:bCs w:val="false"/>
                <w:color w:val="1B1A17"/>
                <w:sz w:val="20"/>
                <w:szCs w:val="20"/>
              </w:rPr>
              <w:t xml:space="preserve">Authentication, role-based access control</w:t>
            </w:r>
          </w:p>
        </w:tc>
      </w:tr>
      <w:tr>
        <w:tc>
          <w:tcPr>
            <w:tcW w:type="dxa" w:w="2200"/>
            <w:shd w:fill="FFFFFF" w:val="clear"/>
            <w:tcMar>
              <w:top w:type="dxa" w:w="80"/>
              <w:left w:type="dxa" w:w="100"/>
              <w:bottom w:type="dxa" w:w="80"/>
              <w:right w:type="dxa" w:w="100"/>
            </w:tcMar>
          </w:tcPr>
          <w:p>
            <w:r>
              <w:rPr>
                <w:b w:val="false"/>
                <w:bCs w:val="false"/>
                <w:color w:val="1B1A17"/>
                <w:sz w:val="20"/>
                <w:szCs w:val="20"/>
              </w:rPr>
              <w:t xml:space="preserve">Database</w:t>
            </w:r>
          </w:p>
        </w:tc>
        <w:tc>
          <w:tcPr>
            <w:tcW w:type="dxa" w:w="3200"/>
            <w:shd w:fill="FFFFFF" w:val="clear"/>
            <w:tcMar>
              <w:top w:type="dxa" w:w="80"/>
              <w:left w:type="dxa" w:w="100"/>
              <w:bottom w:type="dxa" w:w="80"/>
              <w:right w:type="dxa" w:w="100"/>
            </w:tcMar>
          </w:tcPr>
          <w:p>
            <w:r>
              <w:rPr>
                <w:b w:val="false"/>
                <w:bCs w:val="false"/>
                <w:color w:val="1B1A17"/>
                <w:sz w:val="20"/>
                <w:szCs w:val="20"/>
              </w:rPr>
              <w:t xml:space="preserve">PostgreSQL 16</w:t>
            </w:r>
          </w:p>
        </w:tc>
        <w:tc>
          <w:tcPr>
            <w:tcW w:type="dxa" w:w="4400"/>
            <w:shd w:fill="FFFFFF" w:val="clear"/>
            <w:tcMar>
              <w:top w:type="dxa" w:w="80"/>
              <w:left w:type="dxa" w:w="100"/>
              <w:bottom w:type="dxa" w:w="80"/>
              <w:right w:type="dxa" w:w="100"/>
            </w:tcMar>
          </w:tcPr>
          <w:p>
            <w:r>
              <w:rPr>
                <w:b w:val="false"/>
                <w:bCs w:val="false"/>
                <w:color w:val="1B1A17"/>
                <w:sz w:val="20"/>
                <w:szCs w:val="20"/>
              </w:rPr>
              <w:t xml:space="preserve">Persistent storage of all records</w:t>
            </w:r>
          </w:p>
        </w:tc>
      </w:tr>
      <w:tr>
        <w:tc>
          <w:tcPr>
            <w:tcW w:type="dxa" w:w="2200"/>
            <w:shd w:fill="FFFFFF" w:val="clear"/>
            <w:tcMar>
              <w:top w:type="dxa" w:w="80"/>
              <w:left w:type="dxa" w:w="100"/>
              <w:bottom w:type="dxa" w:w="80"/>
              <w:right w:type="dxa" w:w="100"/>
            </w:tcMar>
          </w:tcPr>
          <w:p>
            <w:r>
              <w:rPr>
                <w:b w:val="false"/>
                <w:bCs w:val="false"/>
                <w:color w:val="1B1A17"/>
                <w:sz w:val="20"/>
                <w:szCs w:val="20"/>
              </w:rPr>
              <w:t xml:space="preserve">Migrations</w:t>
            </w:r>
          </w:p>
        </w:tc>
        <w:tc>
          <w:tcPr>
            <w:tcW w:type="dxa" w:w="3200"/>
            <w:shd w:fill="FFFFFF" w:val="clear"/>
            <w:tcMar>
              <w:top w:type="dxa" w:w="80"/>
              <w:left w:type="dxa" w:w="100"/>
              <w:bottom w:type="dxa" w:w="80"/>
              <w:right w:type="dxa" w:w="100"/>
            </w:tcMar>
          </w:tcPr>
          <w:p>
            <w:r>
              <w:rPr>
                <w:b w:val="false"/>
                <w:bCs w:val="false"/>
                <w:color w:val="1B1A17"/>
                <w:sz w:val="20"/>
                <w:szCs w:val="20"/>
              </w:rPr>
              <w:t xml:space="preserve">Flyway</w:t>
            </w:r>
          </w:p>
        </w:tc>
        <w:tc>
          <w:tcPr>
            <w:tcW w:type="dxa" w:w="4400"/>
            <w:shd w:fill="FFFFFF" w:val="clear"/>
            <w:tcMar>
              <w:top w:type="dxa" w:w="80"/>
              <w:left w:type="dxa" w:w="100"/>
              <w:bottom w:type="dxa" w:w="80"/>
              <w:right w:type="dxa" w:w="100"/>
            </w:tcMar>
          </w:tcPr>
          <w:p>
            <w:r>
              <w:rPr>
                <w:b w:val="false"/>
                <w:bCs w:val="false"/>
                <w:color w:val="1B1A17"/>
                <w:sz w:val="20"/>
                <w:szCs w:val="20"/>
              </w:rPr>
              <w:t xml:space="preserve">Versioned, repeatable schema changes</w:t>
            </w:r>
          </w:p>
        </w:tc>
      </w:tr>
      <w:tr>
        <w:tc>
          <w:tcPr>
            <w:tcW w:type="dxa" w:w="2200"/>
            <w:shd w:fill="FFFFFF" w:val="clear"/>
            <w:tcMar>
              <w:top w:type="dxa" w:w="80"/>
              <w:left w:type="dxa" w:w="100"/>
              <w:bottom w:type="dxa" w:w="80"/>
              <w:right w:type="dxa" w:w="100"/>
            </w:tcMar>
          </w:tcPr>
          <w:p>
            <w:r>
              <w:rPr>
                <w:b w:val="false"/>
                <w:bCs w:val="false"/>
                <w:color w:val="1B1A17"/>
                <w:sz w:val="20"/>
                <w:szCs w:val="20"/>
              </w:rPr>
              <w:t xml:space="preserve">Frontend</w:t>
            </w:r>
          </w:p>
        </w:tc>
        <w:tc>
          <w:tcPr>
            <w:tcW w:type="dxa" w:w="3200"/>
            <w:shd w:fill="FFFFFF" w:val="clear"/>
            <w:tcMar>
              <w:top w:type="dxa" w:w="80"/>
              <w:left w:type="dxa" w:w="100"/>
              <w:bottom w:type="dxa" w:w="80"/>
              <w:right w:type="dxa" w:w="100"/>
            </w:tcMar>
          </w:tcPr>
          <w:p>
            <w:r>
              <w:rPr>
                <w:b w:val="false"/>
                <w:bCs w:val="false"/>
                <w:color w:val="1B1A17"/>
                <w:sz w:val="20"/>
                <w:szCs w:val="20"/>
              </w:rPr>
              <w:t xml:space="preserve">React 18, TypeScript, Vite</w:t>
            </w:r>
          </w:p>
        </w:tc>
        <w:tc>
          <w:tcPr>
            <w:tcW w:type="dxa" w:w="4400"/>
            <w:shd w:fill="FFFFFF" w:val="clear"/>
            <w:tcMar>
              <w:top w:type="dxa" w:w="80"/>
              <w:left w:type="dxa" w:w="100"/>
              <w:bottom w:type="dxa" w:w="80"/>
              <w:right w:type="dxa" w:w="100"/>
            </w:tcMar>
          </w:tcPr>
          <w:p>
            <w:r>
              <w:rPr>
                <w:b w:val="false"/>
                <w:bCs w:val="false"/>
                <w:color w:val="1B1A17"/>
                <w:sz w:val="20"/>
                <w:szCs w:val="20"/>
              </w:rPr>
              <w:t xml:space="preserve">Single-page application, role-based dashboards</w:t>
            </w:r>
          </w:p>
        </w:tc>
      </w:tr>
      <w:tr>
        <w:tc>
          <w:tcPr>
            <w:tcW w:type="dxa" w:w="2200"/>
            <w:shd w:fill="FFFFFF" w:val="clear"/>
            <w:tcMar>
              <w:top w:type="dxa" w:w="80"/>
              <w:left w:type="dxa" w:w="100"/>
              <w:bottom w:type="dxa" w:w="80"/>
              <w:right w:type="dxa" w:w="100"/>
            </w:tcMar>
          </w:tcPr>
          <w:p>
            <w:r>
              <w:rPr>
                <w:b w:val="false"/>
                <w:bCs w:val="false"/>
                <w:color w:val="1B1A17"/>
                <w:sz w:val="20"/>
                <w:szCs w:val="20"/>
              </w:rPr>
              <w:t xml:space="preserve">Containerization</w:t>
            </w:r>
          </w:p>
        </w:tc>
        <w:tc>
          <w:tcPr>
            <w:tcW w:type="dxa" w:w="3200"/>
            <w:shd w:fill="FFFFFF" w:val="clear"/>
            <w:tcMar>
              <w:top w:type="dxa" w:w="80"/>
              <w:left w:type="dxa" w:w="100"/>
              <w:bottom w:type="dxa" w:w="80"/>
              <w:right w:type="dxa" w:w="100"/>
            </w:tcMar>
          </w:tcPr>
          <w:p>
            <w:r>
              <w:rPr>
                <w:b w:val="false"/>
                <w:bCs w:val="false"/>
                <w:color w:val="1B1A17"/>
                <w:sz w:val="20"/>
                <w:szCs w:val="20"/>
              </w:rPr>
              <w:t xml:space="preserve">Docker, Docker Compose</w:t>
            </w:r>
          </w:p>
        </w:tc>
        <w:tc>
          <w:tcPr>
            <w:tcW w:type="dxa" w:w="4400"/>
            <w:shd w:fill="FFFFFF" w:val="clear"/>
            <w:tcMar>
              <w:top w:type="dxa" w:w="80"/>
              <w:left w:type="dxa" w:w="100"/>
              <w:bottom w:type="dxa" w:w="80"/>
              <w:right w:type="dxa" w:w="100"/>
            </w:tcMar>
          </w:tcPr>
          <w:p>
            <w:r>
              <w:rPr>
                <w:b w:val="false"/>
                <w:bCs w:val="false"/>
                <w:color w:val="1B1A17"/>
                <w:sz w:val="20"/>
                <w:szCs w:val="20"/>
              </w:rPr>
              <w:t xml:space="preserve">Reproducible local &amp; production deployment</w:t>
            </w:r>
          </w:p>
        </w:tc>
      </w:tr>
      <w:tr>
        <w:tc>
          <w:tcPr>
            <w:tcW w:type="dxa" w:w="2200"/>
            <w:shd w:fill="FFFFFF" w:val="clear"/>
            <w:tcMar>
              <w:top w:type="dxa" w:w="80"/>
              <w:left w:type="dxa" w:w="100"/>
              <w:bottom w:type="dxa" w:w="80"/>
              <w:right w:type="dxa" w:w="100"/>
            </w:tcMar>
          </w:tcPr>
          <w:p>
            <w:r>
              <w:rPr>
                <w:b w:val="false"/>
                <w:bCs w:val="false"/>
                <w:color w:val="1B1A17"/>
                <w:sz w:val="20"/>
                <w:szCs w:val="20"/>
              </w:rPr>
              <w:t xml:space="preserve">Reverse proxy</w:t>
            </w:r>
          </w:p>
        </w:tc>
        <w:tc>
          <w:tcPr>
            <w:tcW w:type="dxa" w:w="3200"/>
            <w:shd w:fill="FFFFFF" w:val="clear"/>
            <w:tcMar>
              <w:top w:type="dxa" w:w="80"/>
              <w:left w:type="dxa" w:w="100"/>
              <w:bottom w:type="dxa" w:w="80"/>
              <w:right w:type="dxa" w:w="100"/>
            </w:tcMar>
          </w:tcPr>
          <w:p>
            <w:r>
              <w:rPr>
                <w:b w:val="false"/>
                <w:bCs w:val="false"/>
                <w:color w:val="1B1A17"/>
                <w:sz w:val="20"/>
                <w:szCs w:val="20"/>
              </w:rPr>
              <w:t xml:space="preserve">Nginx</w:t>
            </w:r>
          </w:p>
        </w:tc>
        <w:tc>
          <w:tcPr>
            <w:tcW w:type="dxa" w:w="4400"/>
            <w:shd w:fill="FFFFFF" w:val="clear"/>
            <w:tcMar>
              <w:top w:type="dxa" w:w="80"/>
              <w:left w:type="dxa" w:w="100"/>
              <w:bottom w:type="dxa" w:w="80"/>
              <w:right w:type="dxa" w:w="100"/>
            </w:tcMar>
          </w:tcPr>
          <w:p>
            <w:r>
              <w:rPr>
                <w:b w:val="false"/>
                <w:bCs w:val="false"/>
                <w:color w:val="1B1A17"/>
                <w:sz w:val="20"/>
                <w:szCs w:val="20"/>
              </w:rPr>
              <w:t xml:space="preserve">Routes traffic, serves the frontend, terminates TLS</w:t>
            </w:r>
          </w:p>
        </w:tc>
      </w:tr>
      <w:tr>
        <w:tc>
          <w:tcPr>
            <w:tcW w:type="dxa" w:w="2200"/>
            <w:shd w:fill="FFFFFF" w:val="clear"/>
            <w:tcMar>
              <w:top w:type="dxa" w:w="80"/>
              <w:left w:type="dxa" w:w="100"/>
              <w:bottom w:type="dxa" w:w="80"/>
              <w:right w:type="dxa" w:w="100"/>
            </w:tcMar>
          </w:tcPr>
          <w:p>
            <w:r>
              <w:rPr>
                <w:b w:val="false"/>
                <w:bCs w:val="false"/>
                <w:color w:val="1B1A17"/>
                <w:sz w:val="20"/>
                <w:szCs w:val="20"/>
              </w:rPr>
              <w:t xml:space="preserve">TLS</w:t>
            </w:r>
          </w:p>
        </w:tc>
        <w:tc>
          <w:tcPr>
            <w:tcW w:type="dxa" w:w="3200"/>
            <w:shd w:fill="FFFFFF" w:val="clear"/>
            <w:tcMar>
              <w:top w:type="dxa" w:w="80"/>
              <w:left w:type="dxa" w:w="100"/>
              <w:bottom w:type="dxa" w:w="80"/>
              <w:right w:type="dxa" w:w="100"/>
            </w:tcMar>
          </w:tcPr>
          <w:p>
            <w:r>
              <w:rPr>
                <w:b w:val="false"/>
                <w:bCs w:val="false"/>
                <w:color w:val="1B1A17"/>
                <w:sz w:val="20"/>
                <w:szCs w:val="20"/>
              </w:rPr>
              <w:t xml:space="preserve">Let's Encrypt / Certbot</w:t>
            </w:r>
          </w:p>
        </w:tc>
        <w:tc>
          <w:tcPr>
            <w:tcW w:type="dxa" w:w="4400"/>
            <w:shd w:fill="FFFFFF" w:val="clear"/>
            <w:tcMar>
              <w:top w:type="dxa" w:w="80"/>
              <w:left w:type="dxa" w:w="100"/>
              <w:bottom w:type="dxa" w:w="80"/>
              <w:right w:type="dxa" w:w="100"/>
            </w:tcMar>
          </w:tcPr>
          <w:p>
            <w:r>
              <w:rPr>
                <w:b w:val="false"/>
                <w:bCs w:val="false"/>
                <w:color w:val="1B1A17"/>
                <w:sz w:val="20"/>
                <w:szCs w:val="20"/>
              </w:rPr>
              <w:t xml:space="preserve">Free, auto-renewing HTTPS certificates</w:t>
            </w:r>
          </w:p>
        </w:tc>
      </w:tr>
    </w:tbl>
    <w:p>
      <w:pPr>
        <w:spacing w:before="200"/>
      </w:pPr>
    </w:p>
    <w:p>
      <w:pPr>
        <w:pStyle w:val="Heading2"/>
        <w:spacing w:after="140" w:before="280"/>
      </w:pPr>
      <w:r>
        <w:t xml:space="preserve">2.3 Project Structure</w:t>
      </w:r>
    </w:p>
    <w:p>
      <w:pPr>
        <w:shd w:fill="F1EFE7" w:val="clear"/>
        <w:spacing w:after="160"/>
        <w:ind w:left="200"/>
      </w:pPr>
      <w:r>
        <w:rPr>
          <w:rFonts w:ascii="Consolas" w:cs="Consolas" w:eastAsia="Consolas" w:hAnsi="Consolas"/>
          <w:color w:val="1C2B45"/>
          <w:sz w:val="20"/>
          <w:szCs w:val="20"/>
        </w:rPr>
        <w:t xml:space="preserve">backend/    Spring Boot API (Maven project)</w:t>
      </w:r>
    </w:p>
    <w:p>
      <w:pPr>
        <w:shd w:fill="F1EFE7" w:val="clear"/>
        <w:spacing w:after="160"/>
        <w:ind w:left="200"/>
      </w:pPr>
      <w:r>
        <w:rPr>
          <w:rFonts w:ascii="Consolas" w:cs="Consolas" w:eastAsia="Consolas" w:hAnsi="Consolas"/>
          <w:color w:val="1C2B45"/>
          <w:sz w:val="20"/>
          <w:szCs w:val="20"/>
        </w:rPr>
        <w:t xml:space="preserve">frontend/   React application (Vite)</w:t>
      </w:r>
    </w:p>
    <w:p>
      <w:pPr>
        <w:shd w:fill="F1EFE7" w:val="clear"/>
        <w:spacing w:after="160"/>
        <w:ind w:left="200"/>
      </w:pPr>
      <w:r>
        <w:rPr>
          <w:rFonts w:ascii="Consolas" w:cs="Consolas" w:eastAsia="Consolas" w:hAnsi="Consolas"/>
          <w:color w:val="1C2B45"/>
          <w:sz w:val="20"/>
          <w:szCs w:val="20"/>
        </w:rPr>
        <w:t xml:space="preserve">proxy/      Nginx reverse-proxy configuration</w:t>
      </w:r>
    </w:p>
    <w:p>
      <w:pPr>
        <w:shd w:fill="F1EFE7" w:val="clear"/>
        <w:spacing w:after="160"/>
        <w:ind w:left="200"/>
      </w:pPr>
      <w:r>
        <w:rPr>
          <w:rFonts w:ascii="Consolas" w:cs="Consolas" w:eastAsia="Consolas" w:hAnsi="Consolas"/>
          <w:color w:val="1C2B45"/>
          <w:sz w:val="20"/>
          <w:szCs w:val="20"/>
        </w:rPr>
        <w:t xml:space="preserve">docker-compose.yml   Ties db + backend + frontend + proxy together</w:t>
      </w:r>
    </w:p>
    <w:p>
      <w:pPr>
        <w:shd w:fill="F1EFE7" w:val="clear"/>
        <w:spacing w:after="160"/>
        <w:ind w:left="200"/>
      </w:pPr>
      <w:r>
        <w:rPr>
          <w:rFonts w:ascii="Consolas" w:cs="Consolas" w:eastAsia="Consolas" w:hAnsi="Consolas"/>
          <w:color w:val="1C2B45"/>
          <w:sz w:val="20"/>
          <w:szCs w:val="20"/>
        </w:rPr>
        <w:t xml:space="preserve">.env.example         Template for secrets/config (never commit the real .env)</w:t>
      </w:r>
    </w:p>
    <w:p>
      <w:pPr>
        <w:pStyle w:val="Heading1"/>
        <w:spacing w:after="200" w:before="400"/>
      </w:pPr>
      <w:r>
        <w:t xml:space="preserve">3. Database Design</w:t>
      </w:r>
    </w:p>
    <w:p>
      <w:pPr>
        <w:spacing w:after="160"/>
      </w:pPr>
      <w:r>
        <w:rPr>
          <w:color w:val="1B1A17"/>
          <w:sz w:val="22"/>
          <w:szCs w:val="22"/>
        </w:rPr>
        <w:t xml:space="preserve">The schema is defined and versioned with Flyway migrations. Key tables: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c>
          <w:tcPr>
            <w:tcW w:type="dxa" w:w="2600"/>
            <w:shd w:fill="1C2B45" w:val="clear"/>
            <w:tcMar>
              <w:top w:type="dxa" w:w="80"/>
              <w:left w:type="dxa" w:w="100"/>
              <w:bottom w:type="dxa" w:w="80"/>
              <w:right w:type="dxa" w:w="100"/>
            </w:tcMar>
          </w:tcPr>
          <w:p>
            <w:r>
              <w:rPr>
                <w:b/>
                <w:bCs/>
                <w:color w:val="FFFFFF"/>
                <w:sz w:val="20"/>
                <w:szCs w:val="20"/>
              </w:rPr>
              <w:t xml:space="preserve">Table</w:t>
            </w:r>
          </w:p>
        </w:tc>
        <w:tc>
          <w:tcPr>
            <w:tcW w:type="dxa" w:w="7200"/>
            <w:shd w:fill="1C2B45" w:val="clear"/>
            <w:tcMar>
              <w:top w:type="dxa" w:w="80"/>
              <w:left w:type="dxa" w:w="100"/>
              <w:bottom w:type="dxa" w:w="80"/>
              <w:right w:type="dxa" w:w="100"/>
            </w:tcMar>
          </w:tcPr>
          <w:p>
            <w:r>
              <w:rPr>
                <w:b/>
                <w:bCs/>
                <w:color w:val="FFFFFF"/>
                <w:sz w:val="20"/>
                <w:szCs w:val="20"/>
              </w:rPr>
              <w:t xml:space="preserve">Purpose</w:t>
            </w:r>
          </w:p>
        </w:tc>
      </w:tr>
      <w:tr>
        <w:tc>
          <w:tcPr>
            <w:tcW w:type="dxa" w:w="2600"/>
            <w:shd w:fill="FFFFFF" w:val="clear"/>
            <w:tcMar>
              <w:top w:type="dxa" w:w="80"/>
              <w:left w:type="dxa" w:w="100"/>
              <w:bottom w:type="dxa" w:w="80"/>
              <w:right w:type="dxa" w:w="100"/>
            </w:tcMar>
          </w:tcPr>
          <w:p>
            <w:r>
              <w:rPr>
                <w:b w:val="false"/>
                <w:bCs w:val="false"/>
                <w:color w:val="1B1A17"/>
                <w:sz w:val="20"/>
                <w:szCs w:val="20"/>
              </w:rPr>
              <w:t xml:space="preserve">departments</w:t>
            </w:r>
          </w:p>
        </w:tc>
        <w:tc>
          <w:tcPr>
            <w:tcW w:type="dxa" w:w="7200"/>
            <w:shd w:fill="FFFFFF" w:val="clear"/>
            <w:tcMar>
              <w:top w:type="dxa" w:w="80"/>
              <w:left w:type="dxa" w:w="100"/>
              <w:bottom w:type="dxa" w:w="80"/>
              <w:right w:type="dxa" w:w="100"/>
            </w:tcMar>
          </w:tcPr>
          <w:p>
            <w:r>
              <w:rPr>
                <w:b w:val="false"/>
                <w:bCs w:val="false"/>
                <w:color w:val="1B1A17"/>
                <w:sz w:val="20"/>
                <w:szCs w:val="20"/>
              </w:rPr>
              <w:t xml:space="preserve">Academic departments (e.g. Computer Science)</w:t>
            </w:r>
          </w:p>
        </w:tc>
      </w:tr>
      <w:tr>
        <w:tc>
          <w:tcPr>
            <w:tcW w:type="dxa" w:w="2600"/>
            <w:shd w:fill="FFFFFF" w:val="clear"/>
            <w:tcMar>
              <w:top w:type="dxa" w:w="80"/>
              <w:left w:type="dxa" w:w="100"/>
              <w:bottom w:type="dxa" w:w="80"/>
              <w:right w:type="dxa" w:w="100"/>
            </w:tcMar>
          </w:tcPr>
          <w:p>
            <w:r>
              <w:rPr>
                <w:b w:val="false"/>
                <w:bCs w:val="false"/>
                <w:color w:val="1B1A17"/>
                <w:sz w:val="20"/>
                <w:szCs w:val="20"/>
              </w:rPr>
              <w:t xml:space="preserve">users</w:t>
            </w:r>
          </w:p>
        </w:tc>
        <w:tc>
          <w:tcPr>
            <w:tcW w:type="dxa" w:w="7200"/>
            <w:shd w:fill="FFFFFF" w:val="clear"/>
            <w:tcMar>
              <w:top w:type="dxa" w:w="80"/>
              <w:left w:type="dxa" w:w="100"/>
              <w:bottom w:type="dxa" w:w="80"/>
              <w:right w:type="dxa" w:w="100"/>
            </w:tcMar>
          </w:tcPr>
          <w:p>
            <w:r>
              <w:rPr>
                <w:b w:val="false"/>
                <w:bCs w:val="false"/>
                <w:color w:val="1B1A17"/>
                <w:sz w:val="20"/>
                <w:szCs w:val="20"/>
              </w:rPr>
              <w:t xml:space="preserve">All accounts — Admin, HOD, Faculty, Student — with role, department, and lockout state</w:t>
            </w:r>
          </w:p>
        </w:tc>
      </w:tr>
      <w:tr>
        <w:tc>
          <w:tcPr>
            <w:tcW w:type="dxa" w:w="2600"/>
            <w:shd w:fill="FFFFFF" w:val="clear"/>
            <w:tcMar>
              <w:top w:type="dxa" w:w="80"/>
              <w:left w:type="dxa" w:w="100"/>
              <w:bottom w:type="dxa" w:w="80"/>
              <w:right w:type="dxa" w:w="100"/>
            </w:tcMar>
          </w:tcPr>
          <w:p>
            <w:r>
              <w:rPr>
                <w:b w:val="false"/>
                <w:bCs w:val="false"/>
                <w:color w:val="1B1A17"/>
                <w:sz w:val="20"/>
                <w:szCs w:val="20"/>
              </w:rPr>
              <w:t xml:space="preserve">subjects</w:t>
            </w:r>
          </w:p>
        </w:tc>
        <w:tc>
          <w:tcPr>
            <w:tcW w:type="dxa" w:w="7200"/>
            <w:shd w:fill="FFFFFF" w:val="clear"/>
            <w:tcMar>
              <w:top w:type="dxa" w:w="80"/>
              <w:left w:type="dxa" w:w="100"/>
              <w:bottom w:type="dxa" w:w="80"/>
              <w:right w:type="dxa" w:w="100"/>
            </w:tcMar>
          </w:tcPr>
          <w:p>
            <w:r>
              <w:rPr>
                <w:b w:val="false"/>
                <w:bCs w:val="false"/>
                <w:color w:val="1B1A17"/>
                <w:sz w:val="20"/>
                <w:szCs w:val="20"/>
              </w:rPr>
              <w:t xml:space="preserve">Subjects offered, with IA/External maximum marks per subject</w:t>
            </w:r>
          </w:p>
        </w:tc>
      </w:tr>
      <w:tr>
        <w:tc>
          <w:tcPr>
            <w:tcW w:type="dxa" w:w="2600"/>
            <w:shd w:fill="FFFFFF" w:val="clear"/>
            <w:tcMar>
              <w:top w:type="dxa" w:w="80"/>
              <w:left w:type="dxa" w:w="100"/>
              <w:bottom w:type="dxa" w:w="80"/>
              <w:right w:type="dxa" w:w="100"/>
            </w:tcMar>
          </w:tcPr>
          <w:p>
            <w:r>
              <w:rPr>
                <w:b w:val="false"/>
                <w:bCs w:val="false"/>
                <w:color w:val="1B1A17"/>
                <w:sz w:val="20"/>
                <w:szCs w:val="20"/>
              </w:rPr>
              <w:t xml:space="preserve">exam_cycles</w:t>
            </w:r>
          </w:p>
        </w:tc>
        <w:tc>
          <w:tcPr>
            <w:tcW w:type="dxa" w:w="7200"/>
            <w:shd w:fill="FFFFFF" w:val="clear"/>
            <w:tcMar>
              <w:top w:type="dxa" w:w="80"/>
              <w:left w:type="dxa" w:w="100"/>
              <w:bottom w:type="dxa" w:w="80"/>
              <w:right w:type="dxa" w:w="100"/>
            </w:tcMar>
          </w:tcPr>
          <w:p>
            <w:r>
              <w:rPr>
                <w:b w:val="false"/>
                <w:bCs w:val="false"/>
                <w:color w:val="1B1A17"/>
                <w:sz w:val="20"/>
                <w:szCs w:val="20"/>
              </w:rPr>
              <w:t xml:space="preserve">Semesters/terms; can be OPEN (editable) or CLOSED (locked)</w:t>
            </w:r>
          </w:p>
        </w:tc>
      </w:tr>
      <w:tr>
        <w:tc>
          <w:tcPr>
            <w:tcW w:type="dxa" w:w="2600"/>
            <w:shd w:fill="FFFFFF" w:val="clear"/>
            <w:tcMar>
              <w:top w:type="dxa" w:w="80"/>
              <w:left w:type="dxa" w:w="100"/>
              <w:bottom w:type="dxa" w:w="80"/>
              <w:right w:type="dxa" w:w="100"/>
            </w:tcMar>
          </w:tcPr>
          <w:p>
            <w:r>
              <w:rPr>
                <w:b w:val="false"/>
                <w:bCs w:val="false"/>
                <w:color w:val="1B1A17"/>
                <w:sz w:val="20"/>
                <w:szCs w:val="20"/>
              </w:rPr>
              <w:t xml:space="preserve">faculty_subject_assignment</w:t>
            </w:r>
          </w:p>
        </w:tc>
        <w:tc>
          <w:tcPr>
            <w:tcW w:type="dxa" w:w="7200"/>
            <w:shd w:fill="FFFFFF" w:val="clear"/>
            <w:tcMar>
              <w:top w:type="dxa" w:w="80"/>
              <w:left w:type="dxa" w:w="100"/>
              <w:bottom w:type="dxa" w:w="80"/>
              <w:right w:type="dxa" w:w="100"/>
            </w:tcMar>
          </w:tcPr>
          <w:p>
            <w:r>
              <w:rPr>
                <w:b w:val="false"/>
                <w:bCs w:val="false"/>
                <w:color w:val="1B1A17"/>
                <w:sz w:val="20"/>
                <w:szCs w:val="20"/>
              </w:rPr>
              <w:t xml:space="preserve">Which faculty member teaches which subject in which cycle</w:t>
            </w:r>
          </w:p>
        </w:tc>
      </w:tr>
      <w:tr>
        <w:tc>
          <w:tcPr>
            <w:tcW w:type="dxa" w:w="2600"/>
            <w:shd w:fill="FFFFFF" w:val="clear"/>
            <w:tcMar>
              <w:top w:type="dxa" w:w="80"/>
              <w:left w:type="dxa" w:w="100"/>
              <w:bottom w:type="dxa" w:w="80"/>
              <w:right w:type="dxa" w:w="100"/>
            </w:tcMar>
          </w:tcPr>
          <w:p>
            <w:r>
              <w:rPr>
                <w:b w:val="false"/>
                <w:bCs w:val="false"/>
                <w:color w:val="1B1A17"/>
                <w:sz w:val="20"/>
                <w:szCs w:val="20"/>
              </w:rPr>
              <w:t xml:space="preserve">student_subject_enrollment</w:t>
            </w:r>
          </w:p>
        </w:tc>
        <w:tc>
          <w:tcPr>
            <w:tcW w:type="dxa" w:w="7200"/>
            <w:shd w:fill="FFFFFF" w:val="clear"/>
            <w:tcMar>
              <w:top w:type="dxa" w:w="80"/>
              <w:left w:type="dxa" w:w="100"/>
              <w:bottom w:type="dxa" w:w="80"/>
              <w:right w:type="dxa" w:w="100"/>
            </w:tcMar>
          </w:tcPr>
          <w:p>
            <w:r>
              <w:rPr>
                <w:b w:val="false"/>
                <w:bCs w:val="false"/>
                <w:color w:val="1B1A17"/>
                <w:sz w:val="20"/>
                <w:szCs w:val="20"/>
              </w:rPr>
              <w:t xml:space="preserve">Which students are enrolled in which subject/cycle</w:t>
            </w:r>
          </w:p>
        </w:tc>
      </w:tr>
      <w:tr>
        <w:tc>
          <w:tcPr>
            <w:tcW w:type="dxa" w:w="2600"/>
            <w:shd w:fill="FFFFFF" w:val="clear"/>
            <w:tcMar>
              <w:top w:type="dxa" w:w="80"/>
              <w:left w:type="dxa" w:w="100"/>
              <w:bottom w:type="dxa" w:w="80"/>
              <w:right w:type="dxa" w:w="100"/>
            </w:tcMar>
          </w:tcPr>
          <w:p>
            <w:r>
              <w:rPr>
                <w:b w:val="false"/>
                <w:bCs w:val="false"/>
                <w:color w:val="1B1A17"/>
                <w:sz w:val="20"/>
                <w:szCs w:val="20"/>
              </w:rPr>
              <w:t xml:space="preserve">marks</w:t>
            </w:r>
          </w:p>
        </w:tc>
        <w:tc>
          <w:tcPr>
            <w:tcW w:type="dxa" w:w="7200"/>
            <w:shd w:fill="FFFFFF" w:val="clear"/>
            <w:tcMar>
              <w:top w:type="dxa" w:w="80"/>
              <w:left w:type="dxa" w:w="100"/>
              <w:bottom w:type="dxa" w:w="80"/>
              <w:right w:type="dxa" w:w="100"/>
            </w:tcMar>
          </w:tcPr>
          <w:p>
            <w:r>
              <w:rPr>
                <w:b w:val="false"/>
                <w:bCs w:val="false"/>
                <w:color w:val="1B1A17"/>
                <w:sz w:val="20"/>
                <w:szCs w:val="20"/>
              </w:rPr>
              <w:t xml:space="preserve">IA marks, External marks, computed total, and current approval status</w:t>
            </w:r>
          </w:p>
        </w:tc>
      </w:tr>
      <w:tr>
        <w:tc>
          <w:tcPr>
            <w:tcW w:type="dxa" w:w="2600"/>
            <w:shd w:fill="FFFFFF" w:val="clear"/>
            <w:tcMar>
              <w:top w:type="dxa" w:w="80"/>
              <w:left w:type="dxa" w:w="100"/>
              <w:bottom w:type="dxa" w:w="80"/>
              <w:right w:type="dxa" w:w="100"/>
            </w:tcMar>
          </w:tcPr>
          <w:p>
            <w:r>
              <w:rPr>
                <w:b w:val="false"/>
                <w:bCs w:val="false"/>
                <w:color w:val="1B1A17"/>
                <w:sz w:val="20"/>
                <w:szCs w:val="20"/>
              </w:rPr>
              <w:t xml:space="preserve">mark_audit_log</w:t>
            </w:r>
          </w:p>
        </w:tc>
        <w:tc>
          <w:tcPr>
            <w:tcW w:type="dxa" w:w="7200"/>
            <w:shd w:fill="FFFFFF" w:val="clear"/>
            <w:tcMar>
              <w:top w:type="dxa" w:w="80"/>
              <w:left w:type="dxa" w:w="100"/>
              <w:bottom w:type="dxa" w:w="80"/>
              <w:right w:type="dxa" w:w="100"/>
            </w:tcMar>
          </w:tcPr>
          <w:p>
            <w:r>
              <w:rPr>
                <w:b w:val="false"/>
                <w:bCs w:val="false"/>
                <w:color w:val="1B1A17"/>
                <w:sz w:val="20"/>
                <w:szCs w:val="20"/>
              </w:rPr>
              <w:t xml:space="preserve">Append-only history of every change made to a marks record</w:t>
            </w:r>
          </w:p>
        </w:tc>
      </w:tr>
    </w:tbl>
    <w:p>
      <w:pPr>
        <w:spacing w:before="200"/>
      </w:pPr>
    </w:p>
    <w:p>
      <w:pPr>
        <w:spacing w:after="160"/>
      </w:pPr>
      <w:r>
        <w:rPr>
          <w:color w:val="1B1A17"/>
          <w:sz w:val="22"/>
          <w:szCs w:val="22"/>
        </w:rPr>
        <w:t xml:space="preserve">The mark_audit_log table is intentionally append-only — rows are never updated or deleted — so there is always a complete, tamper-evident history of who entered, changed, submitted, approved, rejected, or reopened any mark, and when.</w:t>
      </w:r>
    </w:p>
    <w:p>
      <w:pPr>
        <w:pStyle w:val="Heading1"/>
        <w:spacing w:after="200" w:before="400"/>
      </w:pPr>
      <w:r>
        <w:t xml:space="preserve">4. Security Measures</w:t>
      </w:r>
    </w:p>
    <w:p>
      <w:pPr>
        <w:pStyle w:val="ListParagraph"/>
        <w:numPr>
          <w:ilvl w:val="0"/>
          <w:numId w:val="2"/>
        </w:numPr>
        <w:spacing w:after="80"/>
      </w:pPr>
      <w:r>
        <w:rPr>
          <w:color w:val="1B1A17"/>
          <w:sz w:val="22"/>
          <w:szCs w:val="22"/>
        </w:rPr>
        <w:t xml:space="preserve">Passwords are hashed with BCrypt (cost factor 12) — never stored in plain text.</w:t>
      </w:r>
    </w:p>
    <w:p>
      <w:pPr>
        <w:pStyle w:val="ListParagraph"/>
        <w:numPr>
          <w:ilvl w:val="0"/>
          <w:numId w:val="2"/>
        </w:numPr>
        <w:spacing w:after="80"/>
      </w:pPr>
      <w:r>
        <w:rPr>
          <w:color w:val="1B1A17"/>
          <w:sz w:val="22"/>
          <w:szCs w:val="22"/>
        </w:rPr>
        <w:t xml:space="preserve">Authentication uses short-lived JWT access tokens (15 min) plus longer-lived refresh tokens (7 days).</w:t>
      </w:r>
    </w:p>
    <w:p>
      <w:pPr>
        <w:pStyle w:val="ListParagraph"/>
        <w:numPr>
          <w:ilvl w:val="0"/>
          <w:numId w:val="2"/>
        </w:numPr>
        <w:spacing w:after="80"/>
      </w:pPr>
      <w:r>
        <w:rPr>
          <w:color w:val="1B1A17"/>
          <w:sz w:val="22"/>
          <w:szCs w:val="22"/>
        </w:rPr>
        <w:t xml:space="preserve">The frontend keeps tokens in memory only, not in localStorage, to reduce exposure to XSS-based token theft.</w:t>
      </w:r>
    </w:p>
    <w:p>
      <w:pPr>
        <w:pStyle w:val="ListParagraph"/>
        <w:numPr>
          <w:ilvl w:val="0"/>
          <w:numId w:val="2"/>
        </w:numPr>
        <w:spacing w:after="80"/>
      </w:pPr>
      <w:r>
        <w:rPr>
          <w:color w:val="1B1A17"/>
          <w:sz w:val="22"/>
          <w:szCs w:val="22"/>
        </w:rPr>
        <w:t xml:space="preserve">Accounts are locked for 15 minutes after 5 consecutive failed login attempts.</w:t>
      </w:r>
    </w:p>
    <w:p>
      <w:pPr>
        <w:pStyle w:val="ListParagraph"/>
        <w:numPr>
          <w:ilvl w:val="0"/>
          <w:numId w:val="2"/>
        </w:numPr>
        <w:spacing w:after="80"/>
      </w:pPr>
      <w:r>
        <w:rPr>
          <w:color w:val="1B1A17"/>
          <w:sz w:val="22"/>
          <w:szCs w:val="22"/>
        </w:rPr>
        <w:t xml:space="preserve">Role-based access control (RBAC) is enforced on the server for every endpoint, not just hidden in the UI.</w:t>
      </w:r>
    </w:p>
    <w:p>
      <w:pPr>
        <w:pStyle w:val="ListParagraph"/>
        <w:numPr>
          <w:ilvl w:val="0"/>
          <w:numId w:val="2"/>
        </w:numPr>
        <w:spacing w:after="80"/>
      </w:pPr>
      <w:r>
        <w:rPr>
          <w:color w:val="1B1A17"/>
          <w:sz w:val="22"/>
          <w:szCs w:val="22"/>
        </w:rPr>
        <w:t xml:space="preserve">Marks become read-only once submitted; only an explicit, logged admin "reopen" action allows further edits after final approval.</w:t>
      </w:r>
    </w:p>
    <w:p>
      <w:pPr>
        <w:pStyle w:val="ListParagraph"/>
        <w:numPr>
          <w:ilvl w:val="0"/>
          <w:numId w:val="2"/>
        </w:numPr>
        <w:spacing w:after="80"/>
      </w:pPr>
      <w:r>
        <w:rPr>
          <w:color w:val="1B1A17"/>
          <w:sz w:val="22"/>
          <w:szCs w:val="22"/>
        </w:rPr>
        <w:t xml:space="preserve">A global exception handler ensures stack traces and internal error details are never sent to the client.</w:t>
      </w:r>
    </w:p>
    <w:p>
      <w:pPr>
        <w:pStyle w:val="ListParagraph"/>
        <w:numPr>
          <w:ilvl w:val="0"/>
          <w:numId w:val="2"/>
        </w:numPr>
        <w:spacing w:after="80"/>
      </w:pPr>
      <w:r>
        <w:rPr>
          <w:color w:val="1B1A17"/>
          <w:sz w:val="22"/>
          <w:szCs w:val="22"/>
        </w:rPr>
        <w:t xml:space="preserve">CORS is restricted to configured origins; Content-Security-Policy and X-Frame-Options headers are set.</w:t>
      </w:r>
    </w:p>
    <w:p>
      <w:pPr>
        <w:pStyle w:val="ListParagraph"/>
        <w:numPr>
          <w:ilvl w:val="0"/>
          <w:numId w:val="2"/>
        </w:numPr>
        <w:spacing w:after="80"/>
      </w:pPr>
      <w:r>
        <w:rPr>
          <w:color w:val="1B1A17"/>
          <w:sz w:val="22"/>
          <w:szCs w:val="22"/>
        </w:rPr>
        <w:t xml:space="preserve">In the Docker deployment, only the reverse proxy is exposed to the internet — the database and backend containers are not reachable directly.</w:t>
      </w:r>
    </w:p>
    <w:p>
      <w:pPr>
        <w:pStyle w:val="ListParagraph"/>
        <w:numPr>
          <w:ilvl w:val="0"/>
          <w:numId w:val="2"/>
        </w:numPr>
        <w:spacing w:after="80"/>
      </w:pPr>
      <w:r>
        <w:rPr>
          <w:color w:val="1B1A17"/>
          <w:sz w:val="22"/>
          <w:szCs w:val="22"/>
        </w:rPr>
        <w:t xml:space="preserve">All secrets (database password, JWT signing key, admin password) are supplied through environment variables, never hardcoded in source.</w:t>
      </w:r>
    </w:p>
    <w:p>
      <w:pPr>
        <w:pStyle w:val="Heading1"/>
        <w:spacing w:after="200" w:before="400"/>
      </w:pPr>
      <w:r>
        <w:t xml:space="preserve">5. Features by Role</w:t>
      </w:r>
    </w:p>
    <w:p>
      <w:pPr>
        <w:pStyle w:val="Heading2"/>
        <w:spacing w:after="140" w:before="280"/>
      </w:pPr>
      <w:r>
        <w:t xml:space="preserve">5.1 Administrator</w:t>
      </w:r>
    </w:p>
    <w:p>
      <w:pPr>
        <w:pStyle w:val="ListParagraph"/>
        <w:numPr>
          <w:ilvl w:val="0"/>
          <w:numId w:val="2"/>
        </w:numPr>
        <w:spacing w:after="80"/>
      </w:pPr>
      <w:r>
        <w:rPr>
          <w:color w:val="1B1A17"/>
          <w:sz w:val="22"/>
          <w:szCs w:val="22"/>
        </w:rPr>
        <w:t xml:space="preserve">Overview dashboard with live counts: users, faculty, students, subjects, open exam cycles, and pipeline status.</w:t>
      </w:r>
    </w:p>
    <w:p>
      <w:pPr>
        <w:pStyle w:val="ListParagraph"/>
        <w:numPr>
          <w:ilvl w:val="0"/>
          <w:numId w:val="2"/>
        </w:numPr>
        <w:spacing w:after="80"/>
      </w:pPr>
      <w:r>
        <w:rPr>
          <w:color w:val="1B1A17"/>
          <w:sz w:val="22"/>
          <w:szCs w:val="22"/>
        </w:rPr>
        <w:t xml:space="preserve">Create and deactivate user accounts (Admin, HOD, Faculty, Student).</w:t>
      </w:r>
    </w:p>
    <w:p>
      <w:pPr>
        <w:pStyle w:val="ListParagraph"/>
        <w:numPr>
          <w:ilvl w:val="0"/>
          <w:numId w:val="2"/>
        </w:numPr>
        <w:spacing w:after="80"/>
      </w:pPr>
      <w:r>
        <w:rPr>
          <w:color w:val="1B1A17"/>
          <w:sz w:val="22"/>
          <w:szCs w:val="22"/>
        </w:rPr>
        <w:t xml:space="preserve">Manage departments, subjects (with IA/External max marks), and exam cycles (open/close).</w:t>
      </w:r>
    </w:p>
    <w:p>
      <w:pPr>
        <w:pStyle w:val="ListParagraph"/>
        <w:numPr>
          <w:ilvl w:val="0"/>
          <w:numId w:val="2"/>
        </w:numPr>
        <w:spacing w:after="80"/>
      </w:pPr>
      <w:r>
        <w:rPr>
          <w:color w:val="1B1A17"/>
          <w:sz w:val="22"/>
          <w:szCs w:val="22"/>
        </w:rPr>
        <w:t xml:space="preserve">Assign faculty to subjects and enroll students in subjects, per exam cycle.</w:t>
      </w:r>
    </w:p>
    <w:p>
      <w:pPr>
        <w:pStyle w:val="ListParagraph"/>
        <w:numPr>
          <w:ilvl w:val="0"/>
          <w:numId w:val="2"/>
        </w:numPr>
        <w:spacing w:after="80"/>
      </w:pPr>
      <w:r>
        <w:rPr>
          <w:color w:val="1B1A17"/>
          <w:sz w:val="22"/>
          <w:szCs w:val="22"/>
        </w:rPr>
        <w:t xml:space="preserve">Give final approval or rejection on HOD-approved marks.</w:t>
      </w:r>
    </w:p>
    <w:p>
      <w:pPr>
        <w:pStyle w:val="ListParagraph"/>
        <w:numPr>
          <w:ilvl w:val="0"/>
          <w:numId w:val="2"/>
        </w:numPr>
        <w:spacing w:after="80"/>
      </w:pPr>
      <w:r>
        <w:rPr>
          <w:color w:val="1B1A17"/>
          <w:sz w:val="22"/>
          <w:szCs w:val="22"/>
        </w:rPr>
        <w:t xml:space="preserve">Reopen a finalized record for correction, with a mandatory reason (fully audit-logged).</w:t>
      </w:r>
    </w:p>
    <w:p>
      <w:pPr>
        <w:pStyle w:val="Heading2"/>
        <w:spacing w:after="140" w:before="280"/>
      </w:pPr>
      <w:r>
        <w:t xml:space="preserve">5.2 Head of Department (HOD)</w:t>
      </w:r>
    </w:p>
    <w:p>
      <w:pPr>
        <w:pStyle w:val="ListParagraph"/>
        <w:numPr>
          <w:ilvl w:val="0"/>
          <w:numId w:val="2"/>
        </w:numPr>
        <w:spacing w:after="80"/>
      </w:pPr>
      <w:r>
        <w:rPr>
          <w:color w:val="1B1A17"/>
          <w:sz w:val="22"/>
          <w:szCs w:val="22"/>
        </w:rPr>
        <w:t xml:space="preserve">View all marks submitted by faculty in their department, awaiting review.</w:t>
      </w:r>
    </w:p>
    <w:p>
      <w:pPr>
        <w:pStyle w:val="ListParagraph"/>
        <w:numPr>
          <w:ilvl w:val="0"/>
          <w:numId w:val="2"/>
        </w:numPr>
        <w:spacing w:after="80"/>
      </w:pPr>
      <w:r>
        <w:rPr>
          <w:color w:val="1B1A17"/>
          <w:sz w:val="22"/>
          <w:szCs w:val="22"/>
        </w:rPr>
        <w:t xml:space="preserve">Approve a record to forward it to the administrator, or reject it back to faculty with a required reason.</w:t>
      </w:r>
    </w:p>
    <w:p>
      <w:pPr>
        <w:pStyle w:val="Heading2"/>
        <w:spacing w:after="140" w:before="280"/>
      </w:pPr>
      <w:r>
        <w:t xml:space="preserve">5.3 Faculty</w:t>
      </w:r>
    </w:p>
    <w:p>
      <w:pPr>
        <w:pStyle w:val="ListParagraph"/>
        <w:numPr>
          <w:ilvl w:val="0"/>
          <w:numId w:val="2"/>
        </w:numPr>
        <w:spacing w:after="80"/>
      </w:pPr>
      <w:r>
        <w:rPr>
          <w:color w:val="1B1A17"/>
          <w:sz w:val="22"/>
          <w:szCs w:val="22"/>
        </w:rPr>
        <w:t xml:space="preserve">See only the subjects and exam cycles they are assigned to — selected from a dropdown, no manual ID entry.</w:t>
      </w:r>
    </w:p>
    <w:p>
      <w:pPr>
        <w:pStyle w:val="ListParagraph"/>
        <w:numPr>
          <w:ilvl w:val="0"/>
          <w:numId w:val="2"/>
        </w:numPr>
        <w:spacing w:after="80"/>
      </w:pPr>
      <w:r>
        <w:rPr>
          <w:color w:val="1B1A17"/>
          <w:sz w:val="22"/>
          <w:szCs w:val="22"/>
        </w:rPr>
        <w:t xml:space="preserve">View the full enrolled-student roster for a subject, including students with no marks entered yet.</w:t>
      </w:r>
    </w:p>
    <w:p>
      <w:pPr>
        <w:pStyle w:val="ListParagraph"/>
        <w:numPr>
          <w:ilvl w:val="0"/>
          <w:numId w:val="2"/>
        </w:numPr>
        <w:spacing w:after="80"/>
      </w:pPr>
      <w:r>
        <w:rPr>
          <w:color w:val="1B1A17"/>
          <w:sz w:val="22"/>
          <w:szCs w:val="22"/>
        </w:rPr>
        <w:t xml:space="preserve">Enter or edit IA and External marks (validated against each subject’s maximum) and save as draft.</w:t>
      </w:r>
    </w:p>
    <w:p>
      <w:pPr>
        <w:pStyle w:val="ListParagraph"/>
        <w:numPr>
          <w:ilvl w:val="0"/>
          <w:numId w:val="2"/>
        </w:numPr>
        <w:spacing w:after="80"/>
      </w:pPr>
      <w:r>
        <w:rPr>
          <w:color w:val="1B1A17"/>
          <w:sz w:val="22"/>
          <w:szCs w:val="22"/>
        </w:rPr>
        <w:t xml:space="preserve">Submit a student’s marks for HOD review; editing is locked from that point until sent back or reopened.</w:t>
      </w:r>
    </w:p>
    <w:p>
      <w:pPr>
        <w:pStyle w:val="Heading2"/>
        <w:spacing w:after="140" w:before="280"/>
      </w:pPr>
      <w:r>
        <w:t xml:space="preserve">5.4 Student</w:t>
      </w:r>
    </w:p>
    <w:p>
      <w:pPr>
        <w:pStyle w:val="ListParagraph"/>
        <w:numPr>
          <w:ilvl w:val="0"/>
          <w:numId w:val="2"/>
        </w:numPr>
        <w:spacing w:after="80"/>
      </w:pPr>
      <w:r>
        <w:rPr>
          <w:color w:val="1B1A17"/>
          <w:sz w:val="22"/>
          <w:szCs w:val="22"/>
        </w:rPr>
        <w:t xml:space="preserve">View their own marks only — never another student’s.</w:t>
      </w:r>
    </w:p>
    <w:p>
      <w:pPr>
        <w:pStyle w:val="ListParagraph"/>
        <w:numPr>
          <w:ilvl w:val="0"/>
          <w:numId w:val="2"/>
        </w:numPr>
        <w:spacing w:after="80"/>
      </w:pPr>
      <w:r>
        <w:rPr>
          <w:color w:val="1B1A17"/>
          <w:sz w:val="22"/>
          <w:szCs w:val="22"/>
        </w:rPr>
        <w:t xml:space="preserve">IA, External, and Total marks are shown only once the record is finalized by the administrator; records still in review show their current stage instead.</w:t>
      </w:r>
    </w:p>
    <w:p>
      <w:pPr>
        <w:pStyle w:val="Heading1"/>
        <w:spacing w:after="200" w:before="400"/>
      </w:pPr>
      <w:r>
        <w:t xml:space="preserve">6. Local Development Setup</w:t>
      </w:r>
    </w:p>
    <w:p>
      <w:pPr>
        <w:pStyle w:val="Heading2"/>
        <w:spacing w:after="140" w:before="280"/>
      </w:pPr>
      <w:r>
        <w:t xml:space="preserve">6.1 Prerequisites</w:t>
      </w:r>
    </w:p>
    <w:p>
      <w:pPr>
        <w:pStyle w:val="ListParagraph"/>
        <w:numPr>
          <w:ilvl w:val="0"/>
          <w:numId w:val="2"/>
        </w:numPr>
        <w:spacing w:after="80"/>
      </w:pPr>
      <w:r>
        <w:rPr>
          <w:color w:val="1B1A17"/>
          <w:sz w:val="22"/>
          <w:szCs w:val="22"/>
        </w:rPr>
        <w:t xml:space="preserve">Java 21 (Eclipse Temurin recommended)</w:t>
      </w:r>
    </w:p>
    <w:p>
      <w:pPr>
        <w:pStyle w:val="ListParagraph"/>
        <w:numPr>
          <w:ilvl w:val="0"/>
          <w:numId w:val="2"/>
        </w:numPr>
        <w:spacing w:after="80"/>
      </w:pPr>
      <w:r>
        <w:rPr>
          <w:color w:val="1B1A17"/>
          <w:sz w:val="22"/>
          <w:szCs w:val="22"/>
        </w:rPr>
        <w:t xml:space="preserve">Node.js LTS + npm</w:t>
      </w:r>
    </w:p>
    <w:p>
      <w:pPr>
        <w:pStyle w:val="ListParagraph"/>
        <w:numPr>
          <w:ilvl w:val="0"/>
          <w:numId w:val="2"/>
        </w:numPr>
        <w:spacing w:after="80"/>
      </w:pPr>
      <w:r>
        <w:rPr>
          <w:color w:val="1B1A17"/>
          <w:sz w:val="22"/>
          <w:szCs w:val="22"/>
        </w:rPr>
        <w:t xml:space="preserve">PostgreSQL 16 (directly, or via Docker Desktop)</w:t>
      </w:r>
    </w:p>
    <w:p>
      <w:pPr>
        <w:pStyle w:val="ListParagraph"/>
        <w:numPr>
          <w:ilvl w:val="0"/>
          <w:numId w:val="2"/>
        </w:numPr>
        <w:spacing w:after="80"/>
      </w:pPr>
      <w:r>
        <w:rPr>
          <w:color w:val="1B1A17"/>
          <w:sz w:val="22"/>
          <w:szCs w:val="22"/>
        </w:rPr>
        <w:t xml:space="preserve">IntelliJ IDEA (backend) and VS Code (frontend), or any IDE of choice</w:t>
      </w:r>
    </w:p>
    <w:p>
      <w:pPr>
        <w:pStyle w:val="Heading2"/>
        <w:spacing w:after="140" w:before="280"/>
      </w:pPr>
      <w:r>
        <w:t xml:space="preserve">6.2 Backend (IntelliJ)</w:t>
      </w:r>
    </w:p>
    <w:p>
      <w:pPr>
        <w:pStyle w:val="ListParagraph"/>
        <w:numPr>
          <w:ilvl w:val="0"/>
          <w:numId w:val="3"/>
        </w:numPr>
        <w:spacing w:after="80"/>
      </w:pPr>
      <w:r>
        <w:rPr>
          <w:color w:val="1B1A17"/>
          <w:sz w:val="22"/>
          <w:szCs w:val="22"/>
        </w:rPr>
        <w:t xml:space="preserve">Open the backend folder (containing pom.xml) in IntelliJ — it is auto-detected as a Maven project.</w:t>
      </w:r>
    </w:p>
    <w:p>
      <w:pPr>
        <w:pStyle w:val="ListParagraph"/>
        <w:numPr>
          <w:ilvl w:val="0"/>
          <w:numId w:val="3"/>
        </w:numPr>
        <w:spacing w:after="80"/>
      </w:pPr>
      <w:r>
        <w:rPr>
          <w:color w:val="1B1A17"/>
          <w:sz w:val="22"/>
          <w:szCs w:val="22"/>
        </w:rPr>
        <w:t xml:space="preserve">Set Project SDK to Java 21 under File → Project Structure → Project.</w:t>
      </w:r>
    </w:p>
    <w:p>
      <w:pPr>
        <w:pStyle w:val="ListParagraph"/>
        <w:numPr>
          <w:ilvl w:val="0"/>
          <w:numId w:val="3"/>
        </w:numPr>
        <w:spacing w:after="80"/>
      </w:pPr>
      <w:r>
        <w:rPr>
          <w:color w:val="1B1A17"/>
          <w:sz w:val="22"/>
          <w:szCs w:val="22"/>
        </w:rPr>
        <w:t xml:space="preserve">Start a local Postgres (via Docker or a native install) with a database matching application.yml.</w:t>
      </w:r>
    </w:p>
    <w:p>
      <w:pPr>
        <w:pStyle w:val="ListParagraph"/>
        <w:numPr>
          <w:ilvl w:val="0"/>
          <w:numId w:val="3"/>
        </w:numPr>
        <w:spacing w:after="80"/>
      </w:pPr>
      <w:r>
        <w:rPr>
          <w:color w:val="1B1A17"/>
          <w:sz w:val="22"/>
          <w:szCs w:val="22"/>
        </w:rPr>
        <w:t xml:space="preserve">Edit the Run Configuration for IaMarksSystemApplication and add environment variables: DB_PASSWORD, ADMIN_EMAIL, ADMIN_PASSWORD, JWT_SECRET.</w:t>
      </w:r>
    </w:p>
    <w:p>
      <w:pPr>
        <w:pStyle w:val="ListParagraph"/>
        <w:numPr>
          <w:ilvl w:val="0"/>
          <w:numId w:val="3"/>
        </w:numPr>
        <w:spacing w:after="80"/>
      </w:pPr>
      <w:r>
        <w:rPr>
          <w:color w:val="1B1A17"/>
          <w:sz w:val="22"/>
          <w:szCs w:val="22"/>
        </w:rPr>
        <w:t xml:space="preserve">Run the application. On first startup it runs the Flyway migrations and creates the first Admin account automatically.</w:t>
      </w:r>
    </w:p>
    <w:p>
      <w:pPr>
        <w:pStyle w:val="Heading2"/>
        <w:spacing w:after="140" w:before="280"/>
      </w:pPr>
      <w:r>
        <w:t xml:space="preserve">6.3 Frontend (VS Code)</w:t>
      </w:r>
    </w:p>
    <w:p>
      <w:pPr>
        <w:pStyle w:val="ListParagraph"/>
        <w:numPr>
          <w:ilvl w:val="0"/>
          <w:numId w:val="3"/>
        </w:numPr>
        <w:spacing w:after="80"/>
      </w:pPr>
      <w:r>
        <w:rPr>
          <w:color w:val="1B1A17"/>
          <w:sz w:val="22"/>
          <w:szCs w:val="22"/>
        </w:rPr>
        <w:t xml:space="preserve">Open the frontend folder in VS Code.</w:t>
      </w:r>
    </w:p>
    <w:p>
      <w:pPr>
        <w:pStyle w:val="ListParagraph"/>
        <w:numPr>
          <w:ilvl w:val="0"/>
          <w:numId w:val="3"/>
        </w:numPr>
        <w:spacing w:after="80"/>
      </w:pPr>
      <w:r>
        <w:rPr>
          <w:color w:val="1B1A17"/>
          <w:sz w:val="22"/>
          <w:szCs w:val="22"/>
        </w:rPr>
        <w:t xml:space="preserve">Copy .env.example to .env (points the app at the local backend).</w:t>
      </w:r>
    </w:p>
    <w:p>
      <w:pPr>
        <w:pStyle w:val="ListParagraph"/>
        <w:numPr>
          <w:ilvl w:val="0"/>
          <w:numId w:val="3"/>
        </w:numPr>
        <w:spacing w:after="80"/>
      </w:pPr>
      <w:r>
        <w:rPr>
          <w:color w:val="1B1A17"/>
          <w:sz w:val="22"/>
          <w:szCs w:val="22"/>
        </w:rPr>
        <w:t xml:space="preserve">Run npm install, then npm run dev.</w:t>
      </w:r>
    </w:p>
    <w:p>
      <w:pPr>
        <w:pStyle w:val="ListParagraph"/>
        <w:numPr>
          <w:ilvl w:val="0"/>
          <w:numId w:val="3"/>
        </w:numPr>
        <w:spacing w:after="80"/>
      </w:pPr>
      <w:r>
        <w:rPr>
          <w:color w:val="1B1A17"/>
          <w:sz w:val="22"/>
          <w:szCs w:val="22"/>
        </w:rPr>
        <w:t xml:space="preserve">Open the printed local URL (typically http://localhost:5173) and sign in with the Admin credentials from step 6.2.</w:t>
      </w:r>
    </w:p>
    <w:p>
      <w:pPr>
        <w:pStyle w:val="Heading1"/>
        <w:spacing w:after="200" w:before="400"/>
      </w:pPr>
      <w:r>
        <w:t xml:space="preserve">7. Deployment (Production Hosting)</w:t>
      </w:r>
    </w:p>
    <w:p>
      <w:pPr>
        <w:pStyle w:val="Heading2"/>
        <w:spacing w:after="140" w:before="280"/>
      </w:pPr>
      <w:r>
        <w:t xml:space="preserve">7.1 Recommended Setup</w:t>
      </w:r>
    </w:p>
    <w:p>
      <w:pPr>
        <w:spacing w:after="160"/>
      </w:pPr>
      <w:r>
        <w:rPr>
          <w:color w:val="1B1A17"/>
          <w:sz w:val="22"/>
          <w:szCs w:val="22"/>
        </w:rPr>
        <w:t xml:space="preserve">The project is fully containerized. Deployment is a small Linux VPS (e.g. DigitalOcean, 2 GB RAM) running Docker Compose, with Nginx as the single internet-facing entry point and Let’s Encrypt for HTTPS.</w:t>
      </w:r>
    </w:p>
    <w:p>
      <w:pPr>
        <w:pStyle w:val="Heading2"/>
        <w:spacing w:after="140" w:before="280"/>
      </w:pPr>
      <w:r>
        <w:t xml:space="preserve">7.2 Deployment Steps</w:t>
      </w:r>
    </w:p>
    <w:p>
      <w:pPr>
        <w:pStyle w:val="ListParagraph"/>
        <w:numPr>
          <w:ilvl w:val="0"/>
          <w:numId w:val="3"/>
        </w:numPr>
        <w:spacing w:after="80"/>
      </w:pPr>
      <w:r>
        <w:rPr>
          <w:color w:val="1B1A17"/>
          <w:sz w:val="22"/>
          <w:szCs w:val="22"/>
        </w:rPr>
        <w:t xml:space="preserve">Provision a VPS (Ubuntu 24.04) and point a domain’s A record at it (optional — the app also works over the bare IP for testing).</w:t>
      </w:r>
    </w:p>
    <w:p>
      <w:pPr>
        <w:pStyle w:val="ListParagraph"/>
        <w:numPr>
          <w:ilvl w:val="0"/>
          <w:numId w:val="3"/>
        </w:numPr>
        <w:spacing w:after="80"/>
      </w:pPr>
      <w:r>
        <w:rPr>
          <w:color w:val="1B1A17"/>
          <w:sz w:val="22"/>
          <w:szCs w:val="22"/>
        </w:rPr>
        <w:t xml:space="preserve">Push the project to a private GitHub repository; clone it onto the server using a deploy key.</w:t>
      </w:r>
    </w:p>
    <w:p>
      <w:pPr>
        <w:pStyle w:val="ListParagraph"/>
        <w:numPr>
          <w:ilvl w:val="0"/>
          <w:numId w:val="3"/>
        </w:numPr>
        <w:spacing w:after="80"/>
      </w:pPr>
      <w:r>
        <w:rPr>
          <w:color w:val="1B1A17"/>
          <w:sz w:val="22"/>
          <w:szCs w:val="22"/>
        </w:rPr>
        <w:t xml:space="preserve">Install Docker and the Compose plugin on the server.</w:t>
      </w:r>
    </w:p>
    <w:p>
      <w:pPr>
        <w:pStyle w:val="ListParagraph"/>
        <w:numPr>
          <w:ilvl w:val="0"/>
          <w:numId w:val="3"/>
        </w:numPr>
        <w:spacing w:after="80"/>
      </w:pPr>
      <w:r>
        <w:rPr>
          <w:color w:val="1B1A17"/>
          <w:sz w:val="22"/>
          <w:szCs w:val="22"/>
        </w:rPr>
        <w:t xml:space="preserve">Copy .env.example to .env and set real values: DB_PASSWORD, JWT_SECRET (generate with openssl rand -base64 48), ADMIN_EMAIL, ADMIN_PASSWORD.</w:t>
      </w:r>
    </w:p>
    <w:p>
      <w:pPr>
        <w:pStyle w:val="ListParagraph"/>
        <w:numPr>
          <w:ilvl w:val="0"/>
          <w:numId w:val="3"/>
        </w:numPr>
        <w:spacing w:after="80"/>
      </w:pPr>
      <w:r>
        <w:rPr>
          <w:color w:val="1B1A17"/>
          <w:sz w:val="22"/>
          <w:szCs w:val="22"/>
        </w:rPr>
        <w:t xml:space="preserve">Run docker compose up --build -d — this starts the database, backend, frontend, and reverse proxy containers.</w:t>
      </w:r>
    </w:p>
    <w:p>
      <w:pPr>
        <w:pStyle w:val="ListParagraph"/>
        <w:numPr>
          <w:ilvl w:val="0"/>
          <w:numId w:val="3"/>
        </w:numPr>
        <w:spacing w:after="80"/>
      </w:pPr>
      <w:r>
        <w:rPr>
          <w:color w:val="1B1A17"/>
          <w:sz w:val="22"/>
          <w:szCs w:val="22"/>
        </w:rPr>
        <w:t xml:space="preserve">Once a domain is pointed at the server, obtain a certificate with Certbot and enable the HTTPS server block in the Nginx config.</w:t>
      </w:r>
    </w:p>
    <w:p>
      <w:pPr>
        <w:pStyle w:val="ListParagraph"/>
        <w:numPr>
          <w:ilvl w:val="0"/>
          <w:numId w:val="3"/>
        </w:numPr>
        <w:spacing w:after="80"/>
      </w:pPr>
      <w:r>
        <w:rPr>
          <w:color w:val="1B1A17"/>
          <w:sz w:val="22"/>
          <w:szCs w:val="22"/>
        </w:rPr>
        <w:t xml:space="preserve">Set up a nightly backup of the Postgres data volume — this is the one thing that cannot be recreated if lost.</w:t>
      </w:r>
    </w:p>
    <w:p>
      <w:pPr>
        <w:pStyle w:val="Heading2"/>
        <w:spacing w:after="140" w:before="280"/>
      </w:pPr>
      <w:r>
        <w:t xml:space="preserve">7.3 Updating a Live Deployment</w:t>
      </w:r>
    </w:p>
    <w:p>
      <w:pPr>
        <w:shd w:fill="F1EFE7" w:val="clear"/>
        <w:spacing w:after="160"/>
        <w:ind w:left="200"/>
      </w:pPr>
      <w:r>
        <w:rPr>
          <w:rFonts w:ascii="Consolas" w:cs="Consolas" w:eastAsia="Consolas" w:hAnsi="Consolas"/>
          <w:color w:val="1C2B45"/>
          <w:sz w:val="20"/>
          <w:szCs w:val="20"/>
        </w:rPr>
        <w:t xml:space="preserve">cd ia-marks-system &amp;&amp; git pull &amp;&amp; docker compose up --build -d</w:t>
      </w:r>
    </w:p>
    <w:p>
      <w:pPr>
        <w:pStyle w:val="Heading1"/>
        <w:spacing w:after="200" w:before="400"/>
      </w:pPr>
      <w:r>
        <w:t xml:space="preserve">8. User Guide — How to Use the System</w:t>
      </w:r>
    </w:p>
    <w:p>
      <w:pPr>
        <w:pStyle w:val="Heading2"/>
        <w:spacing w:after="140" w:before="280"/>
      </w:pPr>
      <w:r>
        <w:t xml:space="preserve">8.1 First-Time Setup (as Administrator)</w:t>
      </w:r>
    </w:p>
    <w:p>
      <w:pPr>
        <w:spacing w:after="160"/>
      </w:pPr>
      <w:r>
        <w:rPr>
          <w:color w:val="1B1A17"/>
          <w:sz w:val="22"/>
          <w:szCs w:val="22"/>
        </w:rPr>
        <w:t xml:space="preserve">After logging in with the seeded Admin account, set up the academic data in this order before anyone else can use the system:</w:t>
      </w:r>
    </w:p>
    <w:p>
      <w:pPr>
        <w:pStyle w:val="ListParagraph"/>
        <w:numPr>
          <w:ilvl w:val="0"/>
          <w:numId w:val="3"/>
        </w:numPr>
        <w:spacing w:after="80"/>
      </w:pPr>
      <w:r>
        <w:rPr>
          <w:color w:val="1B1A17"/>
          <w:sz w:val="22"/>
          <w:szCs w:val="22"/>
        </w:rPr>
        <w:t xml:space="preserve">Departments — create at least one department.</w:t>
      </w:r>
    </w:p>
    <w:p>
      <w:pPr>
        <w:pStyle w:val="ListParagraph"/>
        <w:numPr>
          <w:ilvl w:val="0"/>
          <w:numId w:val="3"/>
        </w:numPr>
        <w:spacing w:after="80"/>
      </w:pPr>
      <w:r>
        <w:rPr>
          <w:color w:val="1B1A17"/>
          <w:sz w:val="22"/>
          <w:szCs w:val="22"/>
        </w:rPr>
        <w:t xml:space="preserve">Users — create the HOD, Faculty, and Student accounts needed, assigning each to a department (students also get a USN).</w:t>
      </w:r>
    </w:p>
    <w:p>
      <w:pPr>
        <w:pStyle w:val="ListParagraph"/>
        <w:numPr>
          <w:ilvl w:val="0"/>
          <w:numId w:val="3"/>
        </w:numPr>
        <w:spacing w:after="80"/>
      </w:pPr>
      <w:r>
        <w:rPr>
          <w:color w:val="1B1A17"/>
          <w:sz w:val="22"/>
          <w:szCs w:val="22"/>
        </w:rPr>
        <w:t xml:space="preserve">Subjects — create subjects under a department, setting IA and External maximum marks.</w:t>
      </w:r>
    </w:p>
    <w:p>
      <w:pPr>
        <w:pStyle w:val="ListParagraph"/>
        <w:numPr>
          <w:ilvl w:val="0"/>
          <w:numId w:val="3"/>
        </w:numPr>
        <w:spacing w:after="80"/>
      </w:pPr>
      <w:r>
        <w:rPr>
          <w:color w:val="1B1A17"/>
          <w:sz w:val="22"/>
          <w:szCs w:val="22"/>
        </w:rPr>
        <w:t xml:space="preserve">Exam Cycles — open a new cycle (e.g. "Odd Semester 2026").</w:t>
      </w:r>
    </w:p>
    <w:p>
      <w:pPr>
        <w:pStyle w:val="ListParagraph"/>
        <w:numPr>
          <w:ilvl w:val="0"/>
          <w:numId w:val="3"/>
        </w:numPr>
        <w:spacing w:after="80"/>
      </w:pPr>
      <w:r>
        <w:rPr>
          <w:color w:val="1B1A17"/>
          <w:sz w:val="22"/>
          <w:szCs w:val="22"/>
        </w:rPr>
        <w:t xml:space="preserve">Assignments &amp; Enrollment — assign each faculty member to the subjects/cycles they teach, and enroll each student in the subjects/cycles they are taking.</w:t>
      </w:r>
    </w:p>
    <w:p>
      <w:pPr>
        <w:pStyle w:val="Heading2"/>
        <w:spacing w:after="140" w:before="280"/>
      </w:pPr>
      <w:r>
        <w:t xml:space="preserve">8.2 Entering Marks (as Faculty)</w:t>
      </w:r>
    </w:p>
    <w:p>
      <w:pPr>
        <w:pStyle w:val="ListParagraph"/>
        <w:numPr>
          <w:ilvl w:val="0"/>
          <w:numId w:val="3"/>
        </w:numPr>
        <w:spacing w:after="80"/>
      </w:pPr>
      <w:r>
        <w:rPr>
          <w:color w:val="1B1A17"/>
          <w:sz w:val="22"/>
          <w:szCs w:val="22"/>
        </w:rPr>
        <w:t xml:space="preserve">Sign in and select a subject/exam cycle from the dropdown — only assigned subjects appear.</w:t>
      </w:r>
    </w:p>
    <w:p>
      <w:pPr>
        <w:pStyle w:val="ListParagraph"/>
        <w:numPr>
          <w:ilvl w:val="0"/>
          <w:numId w:val="3"/>
        </w:numPr>
        <w:spacing w:after="80"/>
      </w:pPr>
      <w:r>
        <w:rPr>
          <w:color w:val="1B1A17"/>
          <w:sz w:val="22"/>
          <w:szCs w:val="22"/>
        </w:rPr>
        <w:t xml:space="preserve">The full enrolled roster loads, including students with no marks yet.</w:t>
      </w:r>
    </w:p>
    <w:p>
      <w:pPr>
        <w:pStyle w:val="ListParagraph"/>
        <w:numPr>
          <w:ilvl w:val="0"/>
          <w:numId w:val="3"/>
        </w:numPr>
        <w:spacing w:after="80"/>
      </w:pPr>
      <w:r>
        <w:rPr>
          <w:color w:val="1B1A17"/>
          <w:sz w:val="22"/>
          <w:szCs w:val="22"/>
        </w:rPr>
        <w:t xml:space="preserve">Enter IA and External marks for each student and click Save.</w:t>
      </w:r>
    </w:p>
    <w:p>
      <w:pPr>
        <w:pStyle w:val="ListParagraph"/>
        <w:numPr>
          <w:ilvl w:val="0"/>
          <w:numId w:val="3"/>
        </w:numPr>
        <w:spacing w:after="80"/>
      </w:pPr>
      <w:r>
        <w:rPr>
          <w:color w:val="1B1A17"/>
          <w:sz w:val="22"/>
          <w:szCs w:val="22"/>
        </w:rPr>
        <w:t xml:space="preserve">Click Submit to send a student’s record for HOD review. Submitted records can no longer be edited unless sent back.</w:t>
      </w:r>
    </w:p>
    <w:p>
      <w:pPr>
        <w:pStyle w:val="Heading2"/>
        <w:spacing w:after="140" w:before="280"/>
      </w:pPr>
      <w:r>
        <w:t xml:space="preserve">8.3 Reviewing Marks (as HOD)</w:t>
      </w:r>
    </w:p>
    <w:p>
      <w:pPr>
        <w:pStyle w:val="ListParagraph"/>
        <w:numPr>
          <w:ilvl w:val="0"/>
          <w:numId w:val="3"/>
        </w:numPr>
        <w:spacing w:after="80"/>
      </w:pPr>
      <w:r>
        <w:rPr>
          <w:color w:val="1B1A17"/>
          <w:sz w:val="22"/>
          <w:szCs w:val="22"/>
        </w:rPr>
        <w:t xml:space="preserve">Sign in — the Pending Approvals list shows every submitted record from your department.</w:t>
      </w:r>
    </w:p>
    <w:p>
      <w:pPr>
        <w:pStyle w:val="ListParagraph"/>
        <w:numPr>
          <w:ilvl w:val="0"/>
          <w:numId w:val="3"/>
        </w:numPr>
        <w:spacing w:after="80"/>
      </w:pPr>
      <w:r>
        <w:rPr>
          <w:color w:val="1B1A17"/>
          <w:sz w:val="22"/>
          <w:szCs w:val="22"/>
        </w:rPr>
        <w:t xml:space="preserve">Click Approve to forward a record to the Administrator, or Reject and provide a reason to send it back to Faculty for correction.</w:t>
      </w:r>
    </w:p>
    <w:p>
      <w:pPr>
        <w:pStyle w:val="Heading2"/>
        <w:spacing w:after="140" w:before="280"/>
      </w:pPr>
      <w:r>
        <w:t xml:space="preserve">8.4 Final Approval (as Administrator)</w:t>
      </w:r>
    </w:p>
    <w:p>
      <w:pPr>
        <w:pStyle w:val="ListParagraph"/>
        <w:numPr>
          <w:ilvl w:val="0"/>
          <w:numId w:val="3"/>
        </w:numPr>
        <w:spacing w:after="80"/>
      </w:pPr>
      <w:r>
        <w:rPr>
          <w:color w:val="1B1A17"/>
          <w:sz w:val="22"/>
          <w:szCs w:val="22"/>
        </w:rPr>
        <w:t xml:space="preserve">Open Final Approvals to see every HOD-approved record awaiting sign-off.</w:t>
      </w:r>
    </w:p>
    <w:p>
      <w:pPr>
        <w:pStyle w:val="ListParagraph"/>
        <w:numPr>
          <w:ilvl w:val="0"/>
          <w:numId w:val="3"/>
        </w:numPr>
        <w:spacing w:after="80"/>
      </w:pPr>
      <w:r>
        <w:rPr>
          <w:color w:val="1B1A17"/>
          <w:sz w:val="22"/>
          <w:szCs w:val="22"/>
        </w:rPr>
        <w:t xml:space="preserve">Click Finalize to lock the record in as the official result, or Reject with a reason to send it back to Faculty.</w:t>
      </w:r>
    </w:p>
    <w:p>
      <w:pPr>
        <w:pStyle w:val="ListParagraph"/>
        <w:numPr>
          <w:ilvl w:val="0"/>
          <w:numId w:val="3"/>
        </w:numPr>
        <w:spacing w:after="80"/>
      </w:pPr>
      <w:r>
        <w:rPr>
          <w:color w:val="1B1A17"/>
          <w:sz w:val="22"/>
          <w:szCs w:val="22"/>
        </w:rPr>
        <w:t xml:space="preserve">If a finalized record needs correction later, use Reopen (with a mandatory reason) to unlock it — this is fully logged.</w:t>
      </w:r>
    </w:p>
    <w:p>
      <w:pPr>
        <w:pStyle w:val="Heading2"/>
        <w:spacing w:after="140" w:before="280"/>
      </w:pPr>
      <w:r>
        <w:t xml:space="preserve">8.5 Viewing Results (as Student)</w:t>
      </w:r>
    </w:p>
    <w:p>
      <w:pPr>
        <w:spacing w:after="160"/>
      </w:pPr>
      <w:r>
        <w:rPr>
          <w:color w:val="1B1A17"/>
          <w:sz w:val="22"/>
          <w:szCs w:val="22"/>
        </w:rPr>
        <w:t xml:space="preserve">Sign in and open My Marks. Only finalized (administrator-approved) records display actual IA, External, and Total marks; records still moving through review show their current stage instead of a number, so a student can never see a mark before it is official.</w:t>
      </w:r>
    </w:p>
    <w:p>
      <w:pPr>
        <w:pStyle w:val="Heading1"/>
        <w:spacing w:after="200" w:before="400"/>
      </w:pPr>
      <w:r>
        <w:t xml:space="preserve">9. Possible Future Enhancements</w:t>
      </w:r>
    </w:p>
    <w:p>
      <w:pPr>
        <w:pStyle w:val="ListParagraph"/>
        <w:numPr>
          <w:ilvl w:val="0"/>
          <w:numId w:val="2"/>
        </w:numPr>
        <w:spacing w:after="80"/>
      </w:pPr>
      <w:r>
        <w:rPr>
          <w:color w:val="1B1A17"/>
          <w:sz w:val="22"/>
          <w:szCs w:val="22"/>
        </w:rPr>
        <w:t xml:space="preserve">A self-service password change / forced reset on first login.</w:t>
      </w:r>
    </w:p>
    <w:p>
      <w:pPr>
        <w:pStyle w:val="ListParagraph"/>
        <w:numPr>
          <w:ilvl w:val="0"/>
          <w:numId w:val="2"/>
        </w:numPr>
        <w:spacing w:after="80"/>
      </w:pPr>
      <w:r>
        <w:rPr>
          <w:color w:val="1B1A17"/>
          <w:sz w:val="22"/>
          <w:szCs w:val="22"/>
        </w:rPr>
        <w:t xml:space="preserve">Bulk mark upload via CSV for faculty handling large classes.</w:t>
      </w:r>
    </w:p>
    <w:p>
      <w:pPr>
        <w:pStyle w:val="ListParagraph"/>
        <w:numPr>
          <w:ilvl w:val="0"/>
          <w:numId w:val="2"/>
        </w:numPr>
        <w:spacing w:after="80"/>
      </w:pPr>
      <w:r>
        <w:rPr>
          <w:color w:val="1B1A17"/>
          <w:sz w:val="22"/>
          <w:szCs w:val="22"/>
        </w:rPr>
        <w:t xml:space="preserve">PDF/Excel export of finalized grade sheets, per subject or per student.</w:t>
      </w:r>
    </w:p>
    <w:p>
      <w:pPr>
        <w:pStyle w:val="ListParagraph"/>
        <w:numPr>
          <w:ilvl w:val="0"/>
          <w:numId w:val="2"/>
        </w:numPr>
        <w:spacing w:after="80"/>
      </w:pPr>
      <w:r>
        <w:rPr>
          <w:color w:val="1B1A17"/>
          <w:sz w:val="22"/>
          <w:szCs w:val="22"/>
        </w:rPr>
        <w:t xml:space="preserve">Email notifications on submission, approval, and rejection.</w:t>
      </w:r>
    </w:p>
    <w:p>
      <w:pPr>
        <w:pStyle w:val="ListParagraph"/>
        <w:numPr>
          <w:ilvl w:val="0"/>
          <w:numId w:val="2"/>
        </w:numPr>
        <w:spacing w:after="80"/>
      </w:pPr>
      <w:r>
        <w:rPr>
          <w:color w:val="1B1A17"/>
          <w:sz w:val="22"/>
          <w:szCs w:val="22"/>
        </w:rPr>
        <w:t xml:space="preserve">Pagination and search on list views as data volume grows.</w:t>
      </w:r>
    </w:p>
    <w:p>
      <w:pPr>
        <w:pStyle w:val="ListParagraph"/>
        <w:numPr>
          <w:ilvl w:val="0"/>
          <w:numId w:val="2"/>
        </w:numPr>
        <w:spacing w:after="80"/>
      </w:pPr>
      <w:r>
        <w:rPr>
          <w:color w:val="1B1A17"/>
          <w:sz w:val="22"/>
          <w:szCs w:val="22"/>
        </w:rPr>
        <w:t xml:space="preserve">An automated CI/CD pipeline (e.g. GitHub Actions) to rebuild and redeploy on every push to main.</w:t>
      </w:r>
    </w:p>
    <w:p>
      <w:pPr>
        <w:pStyle w:val="Heading1"/>
        <w:spacing w:after="200" w:before="400"/>
      </w:pPr>
      <w:r>
        <w:t xml:space="preserve">10. Conclusion</w:t>
      </w:r>
    </w:p>
    <w:p>
      <w:pPr>
        <w:spacing w:after="160"/>
      </w:pPr>
      <w:r>
        <w:rPr>
          <w:color w:val="1B1A17"/>
          <w:sz w:val="22"/>
          <w:szCs w:val="22"/>
        </w:rPr>
        <w:t xml:space="preserve">This project delivers a working, security-conscious examination records system with a clearly defined approval chain, full audit trail, and role-appropriate access for administrators, department heads, faculty, and students. The system is containerized end-to-end, making it straightforward to run locally for development and to deploy to a production server with HTTPS. The architecture leaves clear, well-scoped room for the enhancements listed above without requiring structural changes to what has already been built.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740"/>
        <w:sz w:val="16"/>
        <w:szCs w:val="16"/>
      </w:rPr>
      <w:t xml:space="preserve">Page </w:t>
    </w:r>
    <w:r>
      <w:rPr>
        <w:color w:val="4A4740"/>
        <w:sz w:val="16"/>
        <w:szCs w:val="16"/>
      </w:rPr>
      <w:fldChar w:fldCharType="begin"/>
      <w:instrText xml:space="preserve">PAGE</w:instrText>
      <w:fldChar w:fldCharType="separate"/>
      <w:fldChar w:fldCharType="end"/>
    </w:r>
    <w:r>
      <w:rPr>
        <w:color w:val="4A4740"/>
        <w:sz w:val="16"/>
        <w:szCs w:val="16"/>
      </w:rPr>
      <w:t xml:space="preserve"> of </w:t>
    </w:r>
    <w:r>
      <w:rPr>
        <w:color w:val="4A474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4740"/>
        <w:sz w:val="16"/>
        <w:szCs w:val="16"/>
      </w:rPr>
      <w:t xml:space="preserve">IA &amp; External Marks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747736e44c5ea36ae1f39f84b57bad26ade00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2026-07-09T12:23:24.627Z</dcterms:created>
  <dcterms:modified xsi:type="dcterms:W3CDTF">2026-07-09T12:23:24.627Z</dcterms:modified>
</cp:coreProperties>
</file>

<file path=docProps/custom.xml><?xml version="1.0" encoding="utf-8"?>
<Properties xmlns="http://schemas.openxmlformats.org/officeDocument/2006/custom-properties" xmlns:vt="http://schemas.openxmlformats.org/officeDocument/2006/docPropsVTypes"/>
</file>