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IBM Plex Mono" w:hAnsi="IBM Plex Mono"/>
          <w:b/>
          <w:color w:val="737A58"/>
          <w:sz w:val="20"/>
        </w:rPr>
        <w:t>PERSONAL DESIGN LANGUAGE</w:t>
      </w:r>
    </w:p>
    <w:p>
      <w:pPr>
        <w:spacing w:before="280"/>
        <w:jc w:val="center"/>
      </w:pPr>
      <w:r>
        <w:rPr>
          <w:rFonts w:ascii="Manrope" w:hAnsi="Manrope"/>
          <w:b/>
          <w:color w:val="171916"/>
          <w:sz w:val="72"/>
        </w:rPr>
        <w:t>STRUCTURED</w:t>
        <w:br/>
        <w:t>INTENSITY</w:t>
      </w:r>
    </w:p>
    <w:p>
      <w:pPr>
        <w:spacing w:before="160"/>
        <w:jc w:val="center"/>
      </w:pPr>
      <w:r>
        <w:rPr>
          <w:rFonts w:ascii="Newsreader" w:hAnsi="Newsreader"/>
          <w:i/>
          <w:color w:val="777A72"/>
          <w:sz w:val="30"/>
        </w:rPr>
        <w:t>Engineered precision. Human depth. Quiet ambition.</w:t>
      </w:r>
    </w:p>
    <w:tbl>
      <w:tblPr>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fill="171916"/>
            <w:vAlign w:val="center"/>
          </w:tcPr>
          <w:p>
            <w:pPr>
              <w:spacing w:after="40"/>
            </w:pPr>
            <w:r/>
            <w:r>
              <w:rPr>
                <w:rFonts w:ascii="Manrope" w:hAnsi="Manrope"/>
                <w:b/>
                <w:color w:val="FFFFFF"/>
                <w:sz w:val="16"/>
              </w:rPr>
              <w:t>Obsidian</w:t>
            </w:r>
          </w:p>
        </w:tc>
        <w:tc>
          <w:tcPr>
            <w:tcW w:type="dxa" w:w="1656"/>
            <w:shd w:fill="292D29"/>
            <w:vAlign w:val="center"/>
          </w:tcPr>
          <w:p>
            <w:pPr>
              <w:spacing w:after="40"/>
            </w:pPr>
            <w:r/>
            <w:r>
              <w:rPr>
                <w:rFonts w:ascii="Manrope" w:hAnsi="Manrope"/>
                <w:b/>
                <w:color w:val="FFFFFF"/>
                <w:sz w:val="16"/>
              </w:rPr>
              <w:t>Graphite</w:t>
            </w:r>
          </w:p>
        </w:tc>
        <w:tc>
          <w:tcPr>
            <w:tcW w:type="dxa" w:w="1656"/>
            <w:shd w:fill="F1EEE5"/>
            <w:vAlign w:val="center"/>
          </w:tcPr>
          <w:p>
            <w:pPr>
              <w:spacing w:after="40"/>
            </w:pPr>
            <w:r/>
            <w:r>
              <w:rPr>
                <w:rFonts w:ascii="Manrope" w:hAnsi="Manrope"/>
                <w:b/>
                <w:color w:val="171916"/>
                <w:sz w:val="16"/>
              </w:rPr>
              <w:t>Warm Ivory</w:t>
            </w:r>
          </w:p>
        </w:tc>
        <w:tc>
          <w:tcPr>
            <w:tcW w:type="dxa" w:w="1656"/>
            <w:shd w:fill="A6A69A"/>
            <w:vAlign w:val="center"/>
          </w:tcPr>
          <w:p>
            <w:pPr>
              <w:spacing w:after="40"/>
            </w:pPr>
            <w:r/>
            <w:r>
              <w:rPr>
                <w:rFonts w:ascii="Manrope" w:hAnsi="Manrope"/>
                <w:b/>
                <w:color w:val="171916"/>
                <w:sz w:val="16"/>
              </w:rPr>
              <w:t>Stone Grey</w:t>
            </w:r>
          </w:p>
        </w:tc>
        <w:tc>
          <w:tcPr>
            <w:tcW w:type="dxa" w:w="1656"/>
            <w:shd w:fill="737A58"/>
            <w:vAlign w:val="center"/>
          </w:tcPr>
          <w:p>
            <w:pPr>
              <w:spacing w:after="40"/>
            </w:pPr>
            <w:r/>
            <w:r>
              <w:rPr>
                <w:rFonts w:ascii="Manrope" w:hAnsi="Manrope"/>
                <w:b/>
                <w:color w:val="FFFFFF"/>
                <w:sz w:val="16"/>
              </w:rPr>
              <w:t>Engineered Olive</w:t>
            </w:r>
          </w:p>
        </w:tc>
        <w:tc>
          <w:tcPr>
            <w:tcW w:type="dxa" w:w="1656"/>
            <w:shd w:fill="C38B55"/>
            <w:vAlign w:val="center"/>
          </w:tcPr>
          <w:p>
            <w:pPr>
              <w:spacing w:after="40"/>
            </w:pPr>
            <w:r/>
            <w:r>
              <w:rPr>
                <w:rFonts w:ascii="Manrope" w:hAnsi="Manrope"/>
                <w:b/>
                <w:color w:val="FFFFFF"/>
                <w:sz w:val="16"/>
              </w:rPr>
              <w:t>Tungsten Amber</w:t>
            </w:r>
          </w:p>
        </w:tc>
      </w:tr>
    </w:tbl>
    <w:p/>
    <w:p>
      <w:pPr>
        <w:jc w:val="center"/>
      </w:pPr>
      <w:r>
        <w:rPr>
          <w:rFonts w:ascii="IBM Plex Mono" w:hAnsi="IBM Plex Mono"/>
          <w:color w:val="777A72"/>
          <w:sz w:val="18"/>
        </w:rPr>
        <w:t>DESIGN PHILOSOPHY / VERSION 1.0</w:t>
      </w:r>
    </w:p>
    <w:p>
      <w:r>
        <w:br w:type="page"/>
      </w:r>
    </w:p>
    <w:p>
      <w:pPr>
        <w:pStyle w:val="Heading1"/>
      </w:pPr>
      <w:r>
        <w:t>Part I. The reasoning behind your theme</w:t>
      </w:r>
    </w:p>
    <w:p>
      <w:r>
        <w:t>The proposed design language combines aerospace engineering, editorial minimalism, industrial design, and cinematic storytelling. It aims to hold analytical precision and human expression together in one coherent visual system.</w:t>
      </w:r>
    </w:p>
    <w:p>
      <w:pPr>
        <w:pStyle w:val="Heading2"/>
      </w:pPr>
      <w:r>
        <w:t>1. You think in systems, but care about the human story</w:t>
      </w:r>
    </w:p>
    <w:p>
      <w:r>
        <w:t>Your aerospace background and analytical work suggest an interest in systems, causal relationships, and improving outcomes. Your theatre, writing, and storytelling interests add sensitivity to communication and experience. The design principle is: the underlying system should be rigorous; the visible experience should feel intuitive and alive. Industrial design supplies function and material honesty, editorial design supplies hierarchy and narrative, and cinematic direction supplies atmosphere.</w:t>
      </w:r>
    </w:p>
    <w:p>
      <w:pPr>
        <w:pStyle w:val="Heading2"/>
      </w:pPr>
      <w:r>
        <w:t>2. Your ambition is broad, so your identity needs a unifying center</w:t>
      </w:r>
    </w:p>
    <w:p>
      <w:r>
        <w:t>Your interests span engineering, consulting, product, entrepreneurship, leadership, and investing. A modular system gives these contexts one stable foundation with different operating modes: Strategist, Builder, and Artist. The analogy is an aircraft platform with a consistent core architecture and different mission configurations.</w:t>
      </w:r>
    </w:p>
    <w:p>
      <w:pPr>
        <w:pStyle w:val="Heading2"/>
      </w:pPr>
      <w:r>
        <w:t>3. You need intensity without visual noise</w:t>
      </w:r>
    </w:p>
    <w:p>
      <w:r>
        <w:t>The proposed system uses high contrast, low noise, and selective emphasis. Most of the visual field remains calm, while a small number of details carry energy. A starting point is roughly 75% neutral surfaces, 20% dark structural elements, and 5% accent colors. These are guidelines, not rigid rules.</w:t>
      </w:r>
    </w:p>
    <w:p>
      <w:pPr>
        <w:pStyle w:val="Heading2"/>
      </w:pPr>
      <w:r>
        <w:t>4. Aerospace should be an influence, not a costume</w:t>
      </w:r>
    </w:p>
    <w:p>
      <w:r>
        <w:t>Borrow aerospace principles such as functional elements, information hierarchy, material honesty, reliability, and precision. Translate them into typography, spacing, layouts, and diagrams. Use literal rockets, cockpit screens, or aviation symbols only when they genuinely add meaning.</w:t>
      </w:r>
    </w:p>
    <w:p>
      <w:pPr>
        <w:pStyle w:val="Heading2"/>
      </w:pPr>
      <w:r>
        <w:t>5. Your creative side needs room to breathe</w:t>
      </w:r>
    </w:p>
    <w:p>
      <w:r>
        <w:t>Warm paper tones, cinematic photography, asymmetrical layouts, serif typography, and generous negative space provide a reflective layer. Editorial composition can bridge a crisp consulting slide and an atmospheric theatre poster.</w:t>
      </w:r>
    </w:p>
    <w:p>
      <w:pPr>
        <w:pStyle w:val="Heading2"/>
      </w:pPr>
      <w:r>
        <w:t>6. You are building a trajectory, not projecting a finished persona</w:t>
      </w:r>
    </w:p>
    <w:p>
      <w:r>
        <w:t>The aesthetic should communicate potential under disciplined execution. Avoid ornamental luxury signals, status-heavy gold, fake institutional seals, and visual language that pretends the destination has already been reached. Aim for a well-made instrument in active use.</w:t>
      </w:r>
    </w:p>
    <w:p>
      <w:pPr>
        <w:pStyle w:val="Heading2"/>
      </w:pPr>
      <w:r>
        <w:t>7. Your breadth needs a disciplined visual system</w:t>
      </w:r>
    </w:p>
    <w:p>
      <w:r>
        <w:t>A range of interests can produce synthesis, but also fragmentation. A limited type family, small palette, clear hierarchy, reusable templates, and content-led variation help the system support concentration and execution.</w:t>
      </w:r>
    </w:p>
    <w:p>
      <w:pPr>
        <w:pStyle w:val="Heading2"/>
      </w:pPr>
      <w:r>
        <w:t>8. The theme should contain a controlled contradiction</w:t>
      </w:r>
    </w:p>
    <w:p>
      <w:r>
        <w:t>Pair analytical with emotional, ambitious with reflective, technical with artistic, minimalist with curious, strategic with experimental, and professional with personal. Resolve these tensions through engineering geometry plus cinematic imagery, dark structures plus warm whitespace, monospaced annotations plus expressive serif headlines, and consistent grids plus selective asymmetry.</w:t>
      </w:r>
    </w:p>
    <w:p>
      <w:r>
        <w:t>Interpretation note: this is a design hypothesis based on patterns in the interests and values shared, not a diagnosis of personality. Confidence in the overall interpretation: 91%; specific color and font preferences remain less certain.</w:t>
      </w:r>
    </w:p>
    <w:p>
      <w:pPr>
        <w:pStyle w:val="Heading1"/>
      </w:pPr>
      <w:r>
        <w:t>Part II. The complete theme and design language</w:t>
      </w:r>
    </w:p>
    <w:p>
      <w:pPr>
        <w:pStyle w:val="Heading2"/>
      </w:pPr>
      <w:r>
        <w:t>1. Design classification</w:t>
      </w:r>
    </w:p>
    <w:p>
      <w:r>
        <w:t>Primary aesthetic: Industrial Editorial Minimalism.</w:t>
      </w:r>
    </w:p>
    <w:p>
      <w:r>
        <w:t>A custom hybrid of industrial minimalism, editorial minimalism, cinematic modernism, and technical precision. Secondary influences include restrained neo-brutalism, Swiss typography, organic industrial design, quiet luxury, and modernist architecture.</w:t>
      </w:r>
    </w:p>
    <w:p>
      <w:r>
        <w:t>Pure Swiss minimalism may feel too impersonal; full neo-brutalism too confrontational; conventional quiet luxury may lack the technical and experimental edge. The proposed system sits between them.</w:t>
      </w:r>
    </w:p>
    <w:p>
      <w:pPr>
        <w:pStyle w:val="Heading2"/>
      </w:pPr>
      <w:r>
        <w:t>2. Color system</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171916"/>
          </w:tcPr>
          <w:p>
            <w:pPr>
              <w:spacing w:after="40"/>
            </w:pPr>
            <w:r/>
            <w:r>
              <w:rPr>
                <w:rFonts w:ascii="Manrope" w:hAnsi="Manrope"/>
                <w:b/>
                <w:color w:val="FFFFFF"/>
                <w:sz w:val="18"/>
              </w:rPr>
              <w:t>Color</w:t>
            </w:r>
          </w:p>
        </w:tc>
        <w:tc>
          <w:tcPr>
            <w:tcW w:type="dxa" w:w="3312"/>
            <w:vAlign w:val="center"/>
            <w:shd w:fill="171916"/>
          </w:tcPr>
          <w:p>
            <w:pPr>
              <w:spacing w:after="40"/>
            </w:pPr>
            <w:r/>
            <w:r>
              <w:rPr>
                <w:rFonts w:ascii="Manrope" w:hAnsi="Manrope"/>
                <w:b/>
                <w:color w:val="FFFFFF"/>
                <w:sz w:val="18"/>
              </w:rPr>
              <w:t>Hex</w:t>
            </w:r>
          </w:p>
        </w:tc>
        <w:tc>
          <w:tcPr>
            <w:tcW w:type="dxa" w:w="3312"/>
            <w:vAlign w:val="center"/>
            <w:shd w:fill="171916"/>
          </w:tcPr>
          <w:p>
            <w:pPr>
              <w:spacing w:after="40"/>
            </w:pPr>
            <w:r/>
            <w:r>
              <w:rPr>
                <w:rFonts w:ascii="Manrope" w:hAnsi="Manrope"/>
                <w:b/>
                <w:color w:val="FFFFFF"/>
                <w:sz w:val="18"/>
              </w:rPr>
              <w:t>Role</w:t>
            </w:r>
          </w:p>
        </w:tc>
      </w:tr>
      <w:tr>
        <w:tc>
          <w:tcPr>
            <w:tcW w:type="dxa" w:w="3312"/>
            <w:shd w:fill="#171916"/>
            <w:vAlign w:val="center"/>
          </w:tcPr>
          <w:p>
            <w:pPr>
              <w:spacing w:after="40"/>
            </w:pPr>
            <w:r/>
            <w:r>
              <w:rPr>
                <w:rFonts w:ascii="Manrope" w:hAnsi="Manrope"/>
                <w:b/>
                <w:color w:val="171916"/>
                <w:sz w:val="18"/>
              </w:rPr>
              <w:t>Obsidian</w:t>
            </w:r>
          </w:p>
        </w:tc>
        <w:tc>
          <w:tcPr>
            <w:tcW w:type="dxa" w:w="3312"/>
            <w:vAlign w:val="center"/>
          </w:tcPr>
          <w:p>
            <w:pPr>
              <w:spacing w:after="40"/>
            </w:pPr>
            <w:r/>
            <w:r>
              <w:rPr>
                <w:rFonts w:ascii="Manrope" w:hAnsi="Manrope"/>
                <w:b/>
                <w:color w:val="171916"/>
                <w:sz w:val="18"/>
              </w:rPr>
              <w:t>#171916</w:t>
            </w:r>
          </w:p>
        </w:tc>
        <w:tc>
          <w:tcPr>
            <w:tcW w:type="dxa" w:w="3312"/>
            <w:vAlign w:val="center"/>
          </w:tcPr>
          <w:p>
            <w:pPr>
              <w:spacing w:after="40"/>
            </w:pPr>
            <w:r/>
            <w:r>
              <w:rPr>
                <w:rFonts w:ascii="Manrope" w:hAnsi="Manrope"/>
                <w:b w:val="0"/>
                <w:color w:val="171916"/>
                <w:sz w:val="18"/>
              </w:rPr>
              <w:t>Primary background, headers, structural elements</w:t>
            </w:r>
          </w:p>
        </w:tc>
      </w:tr>
      <w:tr>
        <w:tc>
          <w:tcPr>
            <w:tcW w:type="dxa" w:w="3312"/>
            <w:shd w:fill="#292D29"/>
            <w:vAlign w:val="center"/>
          </w:tcPr>
          <w:p>
            <w:pPr>
              <w:spacing w:after="40"/>
            </w:pPr>
            <w:r/>
            <w:r>
              <w:rPr>
                <w:rFonts w:ascii="Manrope" w:hAnsi="Manrope"/>
                <w:b/>
                <w:color w:val="171916"/>
                <w:sz w:val="18"/>
              </w:rPr>
              <w:t>Graphite</w:t>
            </w:r>
          </w:p>
        </w:tc>
        <w:tc>
          <w:tcPr>
            <w:tcW w:type="dxa" w:w="3312"/>
            <w:vAlign w:val="center"/>
          </w:tcPr>
          <w:p>
            <w:pPr>
              <w:spacing w:after="40"/>
            </w:pPr>
            <w:r/>
            <w:r>
              <w:rPr>
                <w:rFonts w:ascii="Manrope" w:hAnsi="Manrope"/>
                <w:b/>
                <w:color w:val="171916"/>
                <w:sz w:val="18"/>
              </w:rPr>
              <w:t>#292D29</w:t>
            </w:r>
          </w:p>
        </w:tc>
        <w:tc>
          <w:tcPr>
            <w:tcW w:type="dxa" w:w="3312"/>
            <w:vAlign w:val="center"/>
          </w:tcPr>
          <w:p>
            <w:pPr>
              <w:spacing w:after="40"/>
            </w:pPr>
            <w:r/>
            <w:r>
              <w:rPr>
                <w:rFonts w:ascii="Manrope" w:hAnsi="Manrope"/>
                <w:b w:val="0"/>
                <w:color w:val="171916"/>
                <w:sz w:val="18"/>
              </w:rPr>
              <w:t>Cards, panels, secondary dark surfaces</w:t>
            </w:r>
          </w:p>
        </w:tc>
      </w:tr>
      <w:tr>
        <w:tc>
          <w:tcPr>
            <w:tcW w:type="dxa" w:w="3312"/>
            <w:shd w:fill="#F1EEE5"/>
            <w:vAlign w:val="center"/>
          </w:tcPr>
          <w:p>
            <w:pPr>
              <w:spacing w:after="40"/>
            </w:pPr>
            <w:r/>
            <w:r>
              <w:rPr>
                <w:rFonts w:ascii="Manrope" w:hAnsi="Manrope"/>
                <w:b/>
                <w:color w:val="171916"/>
                <w:sz w:val="18"/>
              </w:rPr>
              <w:t>Warm Ivory</w:t>
            </w:r>
          </w:p>
        </w:tc>
        <w:tc>
          <w:tcPr>
            <w:tcW w:type="dxa" w:w="3312"/>
            <w:vAlign w:val="center"/>
          </w:tcPr>
          <w:p>
            <w:pPr>
              <w:spacing w:after="40"/>
            </w:pPr>
            <w:r/>
            <w:r>
              <w:rPr>
                <w:rFonts w:ascii="Manrope" w:hAnsi="Manrope"/>
                <w:b/>
                <w:color w:val="171916"/>
                <w:sz w:val="18"/>
              </w:rPr>
              <w:t>#F1EEE5</w:t>
            </w:r>
          </w:p>
        </w:tc>
        <w:tc>
          <w:tcPr>
            <w:tcW w:type="dxa" w:w="3312"/>
            <w:vAlign w:val="center"/>
          </w:tcPr>
          <w:p>
            <w:pPr>
              <w:spacing w:after="40"/>
            </w:pPr>
            <w:r/>
            <w:r>
              <w:rPr>
                <w:rFonts w:ascii="Manrope" w:hAnsi="Manrope"/>
                <w:b w:val="0"/>
                <w:color w:val="171916"/>
                <w:sz w:val="18"/>
              </w:rPr>
              <w:t>Primary light background and reading surfaces</w:t>
            </w:r>
          </w:p>
        </w:tc>
      </w:tr>
      <w:tr>
        <w:tc>
          <w:tcPr>
            <w:tcW w:type="dxa" w:w="3312"/>
            <w:shd w:fill="#A6A69A"/>
            <w:vAlign w:val="center"/>
          </w:tcPr>
          <w:p>
            <w:pPr>
              <w:spacing w:after="40"/>
            </w:pPr>
            <w:r/>
            <w:r>
              <w:rPr>
                <w:rFonts w:ascii="Manrope" w:hAnsi="Manrope"/>
                <w:b/>
                <w:color w:val="171916"/>
                <w:sz w:val="18"/>
              </w:rPr>
              <w:t>Stone Grey</w:t>
            </w:r>
          </w:p>
        </w:tc>
        <w:tc>
          <w:tcPr>
            <w:tcW w:type="dxa" w:w="3312"/>
            <w:vAlign w:val="center"/>
          </w:tcPr>
          <w:p>
            <w:pPr>
              <w:spacing w:after="40"/>
            </w:pPr>
            <w:r/>
            <w:r>
              <w:rPr>
                <w:rFonts w:ascii="Manrope" w:hAnsi="Manrope"/>
                <w:b/>
                <w:color w:val="171916"/>
                <w:sz w:val="18"/>
              </w:rPr>
              <w:t>#A6A69A</w:t>
            </w:r>
          </w:p>
        </w:tc>
        <w:tc>
          <w:tcPr>
            <w:tcW w:type="dxa" w:w="3312"/>
            <w:vAlign w:val="center"/>
          </w:tcPr>
          <w:p>
            <w:pPr>
              <w:spacing w:after="40"/>
            </w:pPr>
            <w:r/>
            <w:r>
              <w:rPr>
                <w:rFonts w:ascii="Manrope" w:hAnsi="Manrope"/>
                <w:b w:val="0"/>
                <w:color w:val="171916"/>
                <w:sz w:val="18"/>
              </w:rPr>
              <w:t>Secondary text, borders, quiet details</w:t>
            </w:r>
          </w:p>
        </w:tc>
      </w:tr>
      <w:tr>
        <w:tc>
          <w:tcPr>
            <w:tcW w:type="dxa" w:w="3312"/>
            <w:shd w:fill="#737A58"/>
            <w:vAlign w:val="center"/>
          </w:tcPr>
          <w:p>
            <w:pPr>
              <w:spacing w:after="40"/>
            </w:pPr>
            <w:r/>
            <w:r>
              <w:rPr>
                <w:rFonts w:ascii="Manrope" w:hAnsi="Manrope"/>
                <w:b/>
                <w:color w:val="171916"/>
                <w:sz w:val="18"/>
              </w:rPr>
              <w:t>Engineered Olive</w:t>
            </w:r>
          </w:p>
        </w:tc>
        <w:tc>
          <w:tcPr>
            <w:tcW w:type="dxa" w:w="3312"/>
            <w:vAlign w:val="center"/>
          </w:tcPr>
          <w:p>
            <w:pPr>
              <w:spacing w:after="40"/>
            </w:pPr>
            <w:r/>
            <w:r>
              <w:rPr>
                <w:rFonts w:ascii="Manrope" w:hAnsi="Manrope"/>
                <w:b/>
                <w:color w:val="171916"/>
                <w:sz w:val="18"/>
              </w:rPr>
              <w:t>#737A58</w:t>
            </w:r>
          </w:p>
        </w:tc>
        <w:tc>
          <w:tcPr>
            <w:tcW w:type="dxa" w:w="3312"/>
            <w:vAlign w:val="center"/>
          </w:tcPr>
          <w:p>
            <w:pPr>
              <w:spacing w:after="40"/>
            </w:pPr>
            <w:r/>
            <w:r>
              <w:rPr>
                <w:rFonts w:ascii="Manrope" w:hAnsi="Manrope"/>
                <w:b w:val="0"/>
                <w:color w:val="171916"/>
                <w:sz w:val="18"/>
              </w:rPr>
              <w:t>Signature accent, active states, highlights</w:t>
            </w:r>
          </w:p>
        </w:tc>
      </w:tr>
      <w:tr>
        <w:tc>
          <w:tcPr>
            <w:tcW w:type="dxa" w:w="3312"/>
            <w:shd w:fill="#C38B55"/>
            <w:vAlign w:val="center"/>
          </w:tcPr>
          <w:p>
            <w:pPr>
              <w:spacing w:after="40"/>
            </w:pPr>
            <w:r/>
            <w:r>
              <w:rPr>
                <w:rFonts w:ascii="Manrope" w:hAnsi="Manrope"/>
                <w:b/>
                <w:color w:val="171916"/>
                <w:sz w:val="18"/>
              </w:rPr>
              <w:t>Tungsten Amber</w:t>
            </w:r>
          </w:p>
        </w:tc>
        <w:tc>
          <w:tcPr>
            <w:tcW w:type="dxa" w:w="3312"/>
            <w:vAlign w:val="center"/>
          </w:tcPr>
          <w:p>
            <w:pPr>
              <w:spacing w:after="40"/>
            </w:pPr>
            <w:r/>
            <w:r>
              <w:rPr>
                <w:rFonts w:ascii="Manrope" w:hAnsi="Manrope"/>
                <w:b/>
                <w:color w:val="171916"/>
                <w:sz w:val="18"/>
              </w:rPr>
              <w:t>#C38B55</w:t>
            </w:r>
          </w:p>
        </w:tc>
        <w:tc>
          <w:tcPr>
            <w:tcW w:type="dxa" w:w="3312"/>
            <w:vAlign w:val="center"/>
          </w:tcPr>
          <w:p>
            <w:pPr>
              <w:spacing w:after="40"/>
            </w:pPr>
            <w:r/>
            <w:r>
              <w:rPr>
                <w:rFonts w:ascii="Manrope" w:hAnsi="Manrope"/>
                <w:b w:val="0"/>
                <w:color w:val="171916"/>
                <w:sz w:val="18"/>
              </w:rPr>
              <w:t>Rare highlights and creative or human moments</w:t>
            </w:r>
          </w:p>
        </w:tc>
      </w:tr>
    </w:tbl>
    <w:p>
      <w:pPr>
        <w:pStyle w:val="Heading3"/>
      </w:pPr>
      <w:r>
        <w:t>Color behavior</w:t>
      </w:r>
    </w:p>
    <w:p>
      <w:pPr>
        <w:pStyle w:val="ListBullet"/>
      </w:pPr>
      <w:r>
        <w:t>Obsidian establishes authority and focus.</w:t>
      </w:r>
    </w:p>
    <w:p>
      <w:pPr>
        <w:pStyle w:val="ListBullet"/>
      </w:pPr>
      <w:r>
        <w:t>Warm Ivory adds warmth and readability.</w:t>
      </w:r>
    </w:p>
    <w:p>
      <w:pPr>
        <w:pStyle w:val="ListBullet"/>
      </w:pPr>
      <w:r>
        <w:t>Engineered Olive connects industrial, natural, and understated qualities.</w:t>
      </w:r>
    </w:p>
    <w:p>
      <w:pPr>
        <w:pStyle w:val="ListBullet"/>
      </w:pPr>
      <w:r>
        <w:t>Tungsten Amber introduces emotion and creative energy; use it sparingly.</w:t>
      </w:r>
    </w:p>
    <w:p>
      <w:pPr>
        <w:pStyle w:val="ListBullet"/>
      </w:pPr>
      <w:r>
        <w:t>Graphite and Stone Grey provide connective structure.</w:t>
      </w:r>
    </w:p>
    <w:p>
      <w:r>
        <w:t>Dark mode is the signature presentation. Light mode is the working and reading environment. Avoid pure black and pure white as defaults; softened tones feel more tactile and mature.</w:t>
      </w:r>
    </w:p>
    <w:p>
      <w:pPr>
        <w:pStyle w:val="Heading2"/>
      </w:pPr>
      <w:r>
        <w:t>3. Typography system</w:t>
      </w:r>
    </w:p>
    <w:p>
      <w:pPr>
        <w:pStyle w:val="Heading3"/>
      </w:pPr>
      <w:r>
        <w:t>Manrope | Primary</w:t>
      </w:r>
    </w:p>
    <w:p>
      <w:r>
        <w:t>Headings, body text, navigation, interface labels. Contemporary and geometric without feeling sterile.</w:t>
      </w:r>
    </w:p>
    <w:p>
      <w:pPr>
        <w:pStyle w:val="Heading3"/>
      </w:pPr>
      <w:r>
        <w:t>IBM Plex Mono | Technical</w:t>
      </w:r>
    </w:p>
    <w:p>
      <w:r>
        <w:t>Data, labels, coordinates, metrics, metadata, and technical annotations. Gives analytical work an engineering layer.</w:t>
      </w:r>
    </w:p>
    <w:p>
      <w:pPr>
        <w:pStyle w:val="Heading3"/>
      </w:pPr>
      <w:r>
        <w:t>Newsreader | Expressive</w:t>
      </w:r>
    </w:p>
    <w:p>
      <w:r>
        <w:t>Personal essays, manifesto statements, and selected editorial headlines. Introduces literary character and reflection.</w:t>
      </w:r>
    </w:p>
    <w:p>
      <w:r>
        <w:t>Suggested desktop hierarchy:</w:t>
      </w:r>
    </w:p>
    <w:p>
      <w:pPr>
        <w:pStyle w:val="ListBullet"/>
      </w:pPr>
      <w:r>
        <w:t>Hero headline: Manrope, 56 to 80 px, medium weight.</w:t>
      </w:r>
    </w:p>
    <w:p>
      <w:pPr>
        <w:pStyle w:val="ListBullet"/>
      </w:pPr>
      <w:r>
        <w:t>Section heading: Manrope, 28 to 40 px, semibold.</w:t>
      </w:r>
    </w:p>
    <w:p>
      <w:pPr>
        <w:pStyle w:val="ListBullet"/>
      </w:pPr>
      <w:r>
        <w:t>Body text: Manrope, 16 to 18 px, regular.</w:t>
      </w:r>
    </w:p>
    <w:p>
      <w:pPr>
        <w:pStyle w:val="ListBullet"/>
      </w:pPr>
      <w:r>
        <w:t>UI labels: Manrope, 12 to 14 px, medium.</w:t>
      </w:r>
    </w:p>
    <w:p>
      <w:pPr>
        <w:pStyle w:val="ListBullet"/>
      </w:pPr>
      <w:r>
        <w:t>Technical metadata: IBM Plex Mono, 11 to 13 px.</w:t>
      </w:r>
    </w:p>
    <w:p>
      <w:pPr>
        <w:pStyle w:val="ListBullet"/>
      </w:pPr>
      <w:r>
        <w:t>Editorial statement: Newsreader, 32 to 56 px, regular or italic.</w:t>
      </w:r>
    </w:p>
    <w:p>
      <w:r>
        <w:t>These are starting values for a desktop website. Mobile sizes should scale responsively. Manrope carries the system, IBM Plex Mono provides the engineering layer, and Newsreader supplies the human voice. Do not force all three into every component.</w:t>
      </w:r>
    </w:p>
    <w:p>
      <w:pPr>
        <w:pStyle w:val="Heading2"/>
      </w:pPr>
      <w:r>
        <w:t>4. Geometry, shapes, and layout</w:t>
      </w:r>
    </w:p>
    <w:p>
      <w:pPr>
        <w:pStyle w:val="ListBullet"/>
      </w:pPr>
      <w:r>
        <w:t>Grid: 12-column desktop grid with generous outer margins.</w:t>
      </w:r>
    </w:p>
    <w:p>
      <w:pPr>
        <w:pStyle w:val="ListBullet"/>
      </w:pPr>
      <w:r>
        <w:t>Spacing: 8 px base system, with larger 24, 32, 48, and 64 px intervals.</w:t>
      </w:r>
    </w:p>
    <w:p>
      <w:pPr>
        <w:pStyle w:val="ListBullet"/>
      </w:pPr>
      <w:r>
        <w:t>Corners: mostly 4 to 8 px for cards and controls; sharper edges for typography and diagrams.</w:t>
      </w:r>
    </w:p>
    <w:p>
      <w:pPr>
        <w:pStyle w:val="ListBullet"/>
      </w:pPr>
      <w:r>
        <w:t>Lines: thin 1 px borders in muted grey; heavier rules only for major hierarchy.</w:t>
      </w:r>
    </w:p>
    <w:p>
      <w:pPr>
        <w:pStyle w:val="ListBullet"/>
      </w:pPr>
      <w:r>
        <w:t>Composition: strong alignment for analytical content and controlled asymmetry for editorial or creative work.</w:t>
      </w:r>
    </w:p>
    <w:p>
      <w:pPr>
        <w:pStyle w:val="ListBullet"/>
      </w:pPr>
      <w:r>
        <w:t>Whitespace: generous, but functional. It should improve comprehension or establish atmosphere.</w:t>
      </w:r>
    </w:p>
    <w:p>
      <w:pPr>
        <w:pStyle w:val="ListBullet"/>
      </w:pPr>
      <w:r>
        <w:t>Signature detail: occasional organic forms with layered ridges or curved contours.</w:t>
      </w:r>
    </w:p>
    <w:p>
      <w:r>
        <w:t>Avoid rounding every component; excessive pill shapes can make the system feel like a generic SaaS dashboard.</w:t>
      </w:r>
    </w:p>
    <w:p>
      <w:pPr>
        <w:pStyle w:val="Heading2"/>
      </w:pPr>
      <w:r>
        <w:t>5. Material and texture language</w:t>
      </w:r>
    </w:p>
    <w:p>
      <w:pPr>
        <w:pStyle w:val="ListBullet"/>
      </w:pPr>
      <w:r>
        <w:t>Brushed titanium: precision and engineering.</w:t>
      </w:r>
    </w:p>
    <w:p>
      <w:pPr>
        <w:pStyle w:val="ListBullet"/>
      </w:pPr>
      <w:r>
        <w:t>Matte graphite: restraint and durability.</w:t>
      </w:r>
    </w:p>
    <w:p>
      <w:pPr>
        <w:pStyle w:val="ListBullet"/>
      </w:pPr>
      <w:r>
        <w:t>Uncoated paper: thought and reflection.</w:t>
      </w:r>
    </w:p>
    <w:p>
      <w:pPr>
        <w:pStyle w:val="ListBullet"/>
      </w:pPr>
      <w:r>
        <w:t>Weathered stone: grounded, organic character.</w:t>
      </w:r>
    </w:p>
    <w:p>
      <w:r>
        <w:t>Use these as visual references rather than literal textures pasted onto every surface. Digital interfaces should stay mostly flat. Subtle grain can appear in hero backgrounds or visual compositions, never behind dense body text. Glassmorphism should be a minor utility, reserved for floating controls or specific spatial effects.</w:t>
      </w:r>
    </w:p>
    <w:p>
      <w:pPr>
        <w:pStyle w:val="Heading2"/>
      </w:pPr>
      <w:r>
        <w:t>6. Photography and image direction</w:t>
      </w:r>
    </w:p>
    <w:p>
      <w:pPr>
        <w:pStyle w:val="Heading3"/>
      </w:pPr>
      <w:r>
        <w:t>Structural</w:t>
      </w:r>
    </w:p>
    <w:p>
      <w:r>
        <w:t>Architecture, industrial details, machinery, city geometry, technical environments. Use for professional work, strategy, and systems.</w:t>
      </w:r>
    </w:p>
    <w:p>
      <w:pPr>
        <w:pStyle w:val="Heading3"/>
      </w:pPr>
      <w:r>
        <w:t>Human</w:t>
      </w:r>
    </w:p>
    <w:p>
      <w:r>
        <w:t>Natural portraits, candid movement, quiet confidence, and real moments. Use for personal identity, biography, and leadership.</w:t>
      </w:r>
    </w:p>
    <w:p>
      <w:pPr>
        <w:pStyle w:val="Heading3"/>
      </w:pPr>
      <w:r>
        <w:t>Dramatic</w:t>
      </w:r>
    </w:p>
    <w:p>
      <w:r>
        <w:t>Theatre, deep shadows, warm light, motion, abstract forms, and unexpected compositions. Use for creative projects and storytelling.</w:t>
      </w:r>
    </w:p>
    <w:p>
      <w:r>
        <w:t>Image treatment:</w:t>
      </w:r>
    </w:p>
    <w:p>
      <w:pPr>
        <w:pStyle w:val="ListBullet"/>
      </w:pPr>
      <w:r>
        <w:t>Slightly muted saturation.</w:t>
      </w:r>
    </w:p>
    <w:p>
      <w:pPr>
        <w:pStyle w:val="ListBullet"/>
      </w:pPr>
      <w:r>
        <w:t>Natural shadows and directional lighting.</w:t>
      </w:r>
    </w:p>
    <w:p>
      <w:pPr>
        <w:pStyle w:val="ListBullet"/>
      </w:pPr>
      <w:r>
        <w:t>Selective warmth rather than a uniform orange filter.</w:t>
      </w:r>
    </w:p>
    <w:p>
      <w:pPr>
        <w:pStyle w:val="ListBullet"/>
      </w:pPr>
      <w:r>
        <w:t>Documentary detail mixed with deliberate composition.</w:t>
      </w:r>
    </w:p>
    <w:p>
      <w:pPr>
        <w:pStyle w:val="ListBullet"/>
      </w:pPr>
      <w:r>
        <w:t>Occasional motion blur or film grain for creative pieces.</w:t>
      </w:r>
    </w:p>
    <w:p>
      <w:pPr>
        <w:pStyle w:val="ListBullet"/>
      </w:pPr>
      <w:r>
        <w:t>Avoid excessive HDR, stock-photo smiles, and synthetic futuristic cityscapes.</w:t>
      </w:r>
    </w:p>
    <w:p>
      <w:r>
        <w:t>The imagery should feel observed, not manufactured.</w:t>
      </w:r>
    </w:p>
    <w:p>
      <w:pPr>
        <w:pStyle w:val="Heading2"/>
      </w:pPr>
      <w:r>
        <w:t>7. Graphic motifs and signature elements</w:t>
      </w:r>
    </w:p>
    <w:p>
      <w:pPr>
        <w:pStyle w:val="Heading3"/>
      </w:pPr>
      <w:r>
        <w:t>Orbital geometry</w:t>
      </w:r>
    </w:p>
    <w:p>
      <w:r>
        <w:t>Concentric circles, trajectories, intersecting axes, and reference points. A subtle aerospace influence and a metaphor for multiple interests orbiting a coherent center.</w:t>
      </w:r>
    </w:p>
    <w:p>
      <w:pPr>
        <w:pStyle w:val="Heading3"/>
      </w:pPr>
      <w:r>
        <w:t>Editorial rules</w:t>
      </w:r>
    </w:p>
    <w:p>
      <w:r>
        <w:t>Fine dividers, small section identifiers, asymmetric columns, and carefully aligned captions. They provide rhythm without decorative clutter.</w:t>
      </w:r>
    </w:p>
    <w:p>
      <w:pPr>
        <w:pStyle w:val="Heading3"/>
      </w:pPr>
      <w:r>
        <w:t>Organic contours</w:t>
      </w:r>
    </w:p>
    <w:p>
      <w:r>
        <w:t>Layered ridges, flowing curves, or a single imperfect outline. These introduce creativity and individuality into an engineered system.</w:t>
      </w:r>
    </w:p>
    <w:p>
      <w:r>
        <w:t>Keep motifs subtle. They should never compete with information or create a gaming-interface aesthetic.</w:t>
      </w:r>
    </w:p>
    <w:p>
      <w:pPr>
        <w:pStyle w:val="Heading2"/>
      </w:pPr>
      <w:r>
        <w:t>8. Motion and interaction language</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171916"/>
          </w:tcPr>
          <w:p>
            <w:pPr>
              <w:spacing w:after="40"/>
            </w:pPr>
            <w:r/>
            <w:r>
              <w:rPr>
                <w:rFonts w:ascii="Manrope" w:hAnsi="Manrope"/>
                <w:b/>
                <w:color w:val="FFFFFF"/>
                <w:sz w:val="18"/>
              </w:rPr>
              <w:t>Interaction</w:t>
            </w:r>
          </w:p>
        </w:tc>
        <w:tc>
          <w:tcPr>
            <w:tcW w:type="dxa" w:w="4968"/>
            <w:vAlign w:val="center"/>
            <w:shd w:fill="171916"/>
          </w:tcPr>
          <w:p>
            <w:pPr>
              <w:spacing w:after="40"/>
            </w:pPr>
            <w:r/>
            <w:r>
              <w:rPr>
                <w:rFonts w:ascii="Manrope" w:hAnsi="Manrope"/>
                <w:b/>
                <w:color w:val="FFFFFF"/>
                <w:sz w:val="18"/>
              </w:rPr>
              <w:t>Behavior</w:t>
            </w:r>
          </w:p>
        </w:tc>
      </w:tr>
      <w:tr>
        <w:tc>
          <w:tcPr>
            <w:tcW w:type="dxa" w:w="4968"/>
            <w:vAlign w:val="center"/>
          </w:tcPr>
          <w:p>
            <w:pPr>
              <w:spacing w:after="40"/>
            </w:pPr>
            <w:r/>
            <w:r>
              <w:rPr>
                <w:rFonts w:ascii="Manrope" w:hAnsi="Manrope"/>
                <w:b/>
                <w:color w:val="171916"/>
                <w:sz w:val="18"/>
              </w:rPr>
              <w:t>Page transitions</w:t>
            </w:r>
          </w:p>
        </w:tc>
        <w:tc>
          <w:tcPr>
            <w:tcW w:type="dxa" w:w="4968"/>
            <w:vAlign w:val="center"/>
          </w:tcPr>
          <w:p>
            <w:pPr>
              <w:spacing w:after="40"/>
            </w:pPr>
            <w:r/>
            <w:r>
              <w:rPr>
                <w:rFonts w:ascii="Manrope" w:hAnsi="Manrope"/>
                <w:b w:val="0"/>
                <w:color w:val="171916"/>
                <w:sz w:val="18"/>
              </w:rPr>
              <w:t>Short fades with subtle positional movement</w:t>
            </w:r>
          </w:p>
        </w:tc>
      </w:tr>
      <w:tr>
        <w:tc>
          <w:tcPr>
            <w:tcW w:type="dxa" w:w="4968"/>
            <w:vAlign w:val="center"/>
          </w:tcPr>
          <w:p>
            <w:pPr>
              <w:spacing w:after="40"/>
            </w:pPr>
            <w:r/>
            <w:r>
              <w:rPr>
                <w:rFonts w:ascii="Manrope" w:hAnsi="Manrope"/>
                <w:b/>
                <w:color w:val="171916"/>
                <w:sz w:val="18"/>
              </w:rPr>
              <w:t>Hover</w:t>
            </w:r>
          </w:p>
        </w:tc>
        <w:tc>
          <w:tcPr>
            <w:tcW w:type="dxa" w:w="4968"/>
            <w:vAlign w:val="center"/>
          </w:tcPr>
          <w:p>
            <w:pPr>
              <w:spacing w:after="40"/>
            </w:pPr>
            <w:r/>
            <w:r>
              <w:rPr>
                <w:rFonts w:ascii="Manrope" w:hAnsi="Manrope"/>
                <w:b w:val="0"/>
                <w:color w:val="171916"/>
                <w:sz w:val="18"/>
              </w:rPr>
              <w:t>Small contrast shift or border change</w:t>
            </w:r>
          </w:p>
        </w:tc>
      </w:tr>
      <w:tr>
        <w:tc>
          <w:tcPr>
            <w:tcW w:type="dxa" w:w="4968"/>
            <w:vAlign w:val="center"/>
          </w:tcPr>
          <w:p>
            <w:pPr>
              <w:spacing w:after="40"/>
            </w:pPr>
            <w:r/>
            <w:r>
              <w:rPr>
                <w:rFonts w:ascii="Manrope" w:hAnsi="Manrope"/>
                <w:b/>
                <w:color w:val="171916"/>
                <w:sz w:val="18"/>
              </w:rPr>
              <w:t>Scrolling</w:t>
            </w:r>
          </w:p>
        </w:tc>
        <w:tc>
          <w:tcPr>
            <w:tcW w:type="dxa" w:w="4968"/>
            <w:vAlign w:val="center"/>
          </w:tcPr>
          <w:p>
            <w:pPr>
              <w:spacing w:after="40"/>
            </w:pPr>
            <w:r/>
            <w:r>
              <w:rPr>
                <w:rFonts w:ascii="Manrope" w:hAnsi="Manrope"/>
                <w:b w:val="0"/>
                <w:color w:val="171916"/>
                <w:sz w:val="18"/>
              </w:rPr>
              <w:t>Natural movement and restrained reveals</w:t>
            </w:r>
          </w:p>
        </w:tc>
      </w:tr>
      <w:tr>
        <w:tc>
          <w:tcPr>
            <w:tcW w:type="dxa" w:w="4968"/>
            <w:vAlign w:val="center"/>
          </w:tcPr>
          <w:p>
            <w:pPr>
              <w:spacing w:after="40"/>
            </w:pPr>
            <w:r/>
            <w:r>
              <w:rPr>
                <w:rFonts w:ascii="Manrope" w:hAnsi="Manrope"/>
                <w:b/>
                <w:color w:val="171916"/>
                <w:sz w:val="18"/>
              </w:rPr>
              <w:t>Charts</w:t>
            </w:r>
          </w:p>
        </w:tc>
        <w:tc>
          <w:tcPr>
            <w:tcW w:type="dxa" w:w="4968"/>
            <w:vAlign w:val="center"/>
          </w:tcPr>
          <w:p>
            <w:pPr>
              <w:spacing w:after="40"/>
            </w:pPr>
            <w:r/>
            <w:r>
              <w:rPr>
                <w:rFonts w:ascii="Manrope" w:hAnsi="Manrope"/>
                <w:b w:val="0"/>
                <w:color w:val="171916"/>
                <w:sz w:val="18"/>
              </w:rPr>
              <w:t>Progressive drawing or highlighting when useful</w:t>
            </w:r>
          </w:p>
        </w:tc>
      </w:tr>
      <w:tr>
        <w:tc>
          <w:tcPr>
            <w:tcW w:type="dxa" w:w="4968"/>
            <w:vAlign w:val="center"/>
          </w:tcPr>
          <w:p>
            <w:pPr>
              <w:spacing w:after="40"/>
            </w:pPr>
            <w:r/>
            <w:r>
              <w:rPr>
                <w:rFonts w:ascii="Manrope" w:hAnsi="Manrope"/>
                <w:b/>
                <w:color w:val="171916"/>
                <w:sz w:val="18"/>
              </w:rPr>
              <w:t>Loading</w:t>
            </w:r>
          </w:p>
        </w:tc>
        <w:tc>
          <w:tcPr>
            <w:tcW w:type="dxa" w:w="4968"/>
            <w:vAlign w:val="center"/>
          </w:tcPr>
          <w:p>
            <w:pPr>
              <w:spacing w:after="40"/>
            </w:pPr>
            <w:r/>
            <w:r>
              <w:rPr>
                <w:rFonts w:ascii="Manrope" w:hAnsi="Manrope"/>
                <w:b w:val="0"/>
                <w:color w:val="171916"/>
                <w:sz w:val="18"/>
              </w:rPr>
              <w:t>Simple progress indicators</w:t>
            </w:r>
          </w:p>
        </w:tc>
      </w:tr>
      <w:tr>
        <w:tc>
          <w:tcPr>
            <w:tcW w:type="dxa" w:w="4968"/>
            <w:vAlign w:val="center"/>
          </w:tcPr>
          <w:p>
            <w:pPr>
              <w:spacing w:after="40"/>
            </w:pPr>
            <w:r/>
            <w:r>
              <w:rPr>
                <w:rFonts w:ascii="Manrope" w:hAnsi="Manrope"/>
                <w:b/>
                <w:color w:val="171916"/>
                <w:sz w:val="18"/>
              </w:rPr>
              <w:t>Microinteractions</w:t>
            </w:r>
          </w:p>
        </w:tc>
        <w:tc>
          <w:tcPr>
            <w:tcW w:type="dxa" w:w="4968"/>
            <w:vAlign w:val="center"/>
          </w:tcPr>
          <w:p>
            <w:pPr>
              <w:spacing w:after="40"/>
            </w:pPr>
            <w:r/>
            <w:r>
              <w:rPr>
                <w:rFonts w:ascii="Manrope" w:hAnsi="Manrope"/>
                <w:b w:val="0"/>
                <w:color w:val="171916"/>
                <w:sz w:val="18"/>
              </w:rPr>
              <w:t>Small, purposeful responses with immediate feedback</w:t>
            </w:r>
          </w:p>
        </w:tc>
      </w:tr>
    </w:tbl>
    <w:p>
      <w:r>
        <w:t>Use approximately 160 to 280 milliseconds for common interface transitions. Longer sequences are appropriate when the narrative warrants them. Avoid constant parallax, excessive scroll-triggered effects, floating particles, glowing edges, and animations that delay information.</w:t>
      </w:r>
    </w:p>
    <w:p>
      <w:pPr>
        <w:pStyle w:val="Heading2"/>
      </w:pPr>
      <w:r>
        <w:t>9. Applications across contexts</w:t>
      </w:r>
    </w:p>
    <w:p>
      <w:pPr>
        <w:pStyle w:val="Heading3"/>
      </w:pPr>
      <w:r>
        <w:t>Personal website and portfolio</w:t>
      </w:r>
    </w:p>
    <w:p>
      <w:r>
        <w:t>A restrained dark hero, strong typography, project cards, quantified outcomes, and an expressive biography section. Analytical work uses structured case studies; creative work gets its own visual space.</w:t>
      </w:r>
    </w:p>
    <w:p>
      <w:pPr>
        <w:pStyle w:val="Heading3"/>
      </w:pPr>
      <w:r>
        <w:t>Consulting and strategy presentations</w:t>
      </w:r>
    </w:p>
    <w:p>
      <w:r>
        <w:t>Light backgrounds, action-oriented headlines, clean charts, rigorous hierarchy, restrained accents, and minimal decoration. Evidence takes priority over atmosphere.</w:t>
      </w:r>
    </w:p>
    <w:p>
      <w:pPr>
        <w:pStyle w:val="Heading3"/>
      </w:pPr>
      <w:r>
        <w:t>Product and startup concepts</w:t>
      </w:r>
    </w:p>
    <w:p>
      <w:r>
        <w:t>Modular cards, structured data, industrial surfaces, clear system diagrams, and functional interaction states. Technical motifs appear when they reinforce the product's purpose.</w:t>
      </w:r>
    </w:p>
    <w:p>
      <w:pPr>
        <w:pStyle w:val="Heading3"/>
      </w:pPr>
      <w:r>
        <w:t>Personal workspace and journaling</w:t>
      </w:r>
    </w:p>
    <w:p>
      <w:r>
        <w:t>Warm paper, simple sections, monochrome typography, small olive indicators, and room for handwritten notes. Emphasis is on reflection and execution.</w:t>
      </w:r>
    </w:p>
    <w:p>
      <w:r>
        <w:t>The same design system can serve all contexts, with each application adjusting the balance of its ingredients.</w:t>
      </w:r>
    </w:p>
    <w:p>
      <w:pPr>
        <w:pStyle w:val="Heading2"/>
      </w:pPr>
      <w:r>
        <w:t>10. What to avoid</w:t>
      </w:r>
    </w:p>
    <w:p>
      <w:pPr>
        <w:pStyle w:val="ListBullet"/>
      </w:pPr>
      <w:r>
        <w:rPr>
          <w:b/>
        </w:rPr>
        <w:t xml:space="preserve">Generic cyberpunk: </w:t>
      </w:r>
      <w:r>
        <w:t>Neon purple, electric blue, glowing grids, and sci-fi HUDs.</w:t>
      </w:r>
    </w:p>
    <w:p>
      <w:pPr>
        <w:pStyle w:val="ListBullet"/>
      </w:pPr>
      <w:r>
        <w:rPr>
          <w:b/>
        </w:rPr>
        <w:t xml:space="preserve">Overdone glassmorphism: </w:t>
      </w:r>
      <w:r>
        <w:t>Blurred panels and translucent layers on every surface.</w:t>
      </w:r>
    </w:p>
    <w:p>
      <w:pPr>
        <w:pStyle w:val="ListBullet"/>
      </w:pPr>
      <w:r>
        <w:rPr>
          <w:b/>
        </w:rPr>
        <w:t xml:space="preserve">Corporate template minimalism: </w:t>
      </w:r>
      <w:r>
        <w:t>Sterile white slides, generic blue accents, and interchangeable layouts.</w:t>
      </w:r>
    </w:p>
    <w:p>
      <w:pPr>
        <w:pStyle w:val="ListBullet"/>
      </w:pPr>
      <w:r>
        <w:rPr>
          <w:b/>
        </w:rPr>
        <w:t xml:space="preserve">Performative luxury: </w:t>
      </w:r>
      <w:r>
        <w:t>Gold everywhere, excessive black-and-gold branding, ornamental serif fonts.</w:t>
      </w:r>
    </w:p>
    <w:p>
      <w:pPr>
        <w:pStyle w:val="ListBullet"/>
      </w:pPr>
      <w:r>
        <w:rPr>
          <w:b/>
        </w:rPr>
        <w:t xml:space="preserve">Uncontrolled maximalism: </w:t>
      </w:r>
      <w:r>
        <w:t>Too many fonts, accent colors, decorative elements, and competing ideas.</w:t>
      </w:r>
    </w:p>
    <w:p>
      <w:pPr>
        <w:pStyle w:val="ListBullet"/>
      </w:pPr>
      <w:r>
        <w:rPr>
          <w:b/>
        </w:rPr>
        <w:t xml:space="preserve">Aerospace literalism: </w:t>
      </w:r>
      <w:r>
        <w:t>Rockets, fighter jets, cockpit graphics, and aviation symbols used without context.</w:t>
      </w:r>
    </w:p>
    <w:p>
      <w:pPr>
        <w:pStyle w:val="Heading2"/>
      </w:pPr>
      <w:r>
        <w:t>11. Complete design specification</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171916"/>
          </w:tcPr>
          <w:p>
            <w:pPr>
              <w:spacing w:after="40"/>
            </w:pPr>
            <w:r/>
            <w:r>
              <w:rPr>
                <w:rFonts w:ascii="Manrope" w:hAnsi="Manrope"/>
                <w:b/>
                <w:color w:val="FFFFFF"/>
                <w:sz w:val="18"/>
              </w:rPr>
              <w:t>Specification</w:t>
            </w:r>
          </w:p>
        </w:tc>
        <w:tc>
          <w:tcPr>
            <w:tcW w:type="dxa" w:w="4968"/>
            <w:vAlign w:val="center"/>
            <w:shd w:fill="171916"/>
          </w:tcPr>
          <w:p>
            <w:pPr>
              <w:spacing w:after="40"/>
            </w:pPr>
            <w:r/>
            <w:r>
              <w:rPr>
                <w:rFonts w:ascii="Manrope" w:hAnsi="Manrope"/>
                <w:b/>
                <w:color w:val="FFFFFF"/>
                <w:sz w:val="18"/>
              </w:rPr>
              <w:t>Definition</w:t>
            </w:r>
          </w:p>
        </w:tc>
      </w:tr>
      <w:tr>
        <w:tc>
          <w:tcPr>
            <w:tcW w:type="dxa" w:w="4968"/>
            <w:vAlign w:val="center"/>
          </w:tcPr>
          <w:p>
            <w:pPr>
              <w:spacing w:after="40"/>
            </w:pPr>
            <w:r/>
            <w:r>
              <w:rPr>
                <w:rFonts w:ascii="Manrope" w:hAnsi="Manrope"/>
                <w:b/>
                <w:color w:val="171916"/>
                <w:sz w:val="18"/>
              </w:rPr>
              <w:t>Theme name</w:t>
            </w:r>
          </w:p>
        </w:tc>
        <w:tc>
          <w:tcPr>
            <w:tcW w:type="dxa" w:w="4968"/>
            <w:vAlign w:val="center"/>
          </w:tcPr>
          <w:p>
            <w:pPr>
              <w:spacing w:after="40"/>
            </w:pPr>
            <w:r/>
            <w:r>
              <w:rPr>
                <w:rFonts w:ascii="Manrope" w:hAnsi="Manrope"/>
                <w:b w:val="0"/>
                <w:color w:val="171916"/>
                <w:sz w:val="18"/>
              </w:rPr>
              <w:t>Structured Intensity</w:t>
            </w:r>
          </w:p>
        </w:tc>
      </w:tr>
      <w:tr>
        <w:tc>
          <w:tcPr>
            <w:tcW w:type="dxa" w:w="4968"/>
            <w:vAlign w:val="center"/>
          </w:tcPr>
          <w:p>
            <w:pPr>
              <w:spacing w:after="40"/>
            </w:pPr>
            <w:r/>
            <w:r>
              <w:rPr>
                <w:rFonts w:ascii="Manrope" w:hAnsi="Manrope"/>
                <w:b/>
                <w:color w:val="171916"/>
                <w:sz w:val="18"/>
              </w:rPr>
              <w:t>Primary aesthetic</w:t>
            </w:r>
          </w:p>
        </w:tc>
        <w:tc>
          <w:tcPr>
            <w:tcW w:type="dxa" w:w="4968"/>
            <w:vAlign w:val="center"/>
          </w:tcPr>
          <w:p>
            <w:pPr>
              <w:spacing w:after="40"/>
            </w:pPr>
            <w:r/>
            <w:r>
              <w:rPr>
                <w:rFonts w:ascii="Manrope" w:hAnsi="Manrope"/>
                <w:b w:val="0"/>
                <w:color w:val="171916"/>
                <w:sz w:val="18"/>
              </w:rPr>
              <w:t>Industrial Editorial Minimalism</w:t>
            </w:r>
          </w:p>
        </w:tc>
      </w:tr>
      <w:tr>
        <w:tc>
          <w:tcPr>
            <w:tcW w:type="dxa" w:w="4968"/>
            <w:vAlign w:val="center"/>
          </w:tcPr>
          <w:p>
            <w:pPr>
              <w:spacing w:after="40"/>
            </w:pPr>
            <w:r/>
            <w:r>
              <w:rPr>
                <w:rFonts w:ascii="Manrope" w:hAnsi="Manrope"/>
                <w:b/>
                <w:color w:val="171916"/>
                <w:sz w:val="18"/>
              </w:rPr>
              <w:t>Secondary aesthetics</w:t>
            </w:r>
          </w:p>
        </w:tc>
        <w:tc>
          <w:tcPr>
            <w:tcW w:type="dxa" w:w="4968"/>
            <w:vAlign w:val="center"/>
          </w:tcPr>
          <w:p>
            <w:pPr>
              <w:spacing w:after="40"/>
            </w:pPr>
            <w:r/>
            <w:r>
              <w:rPr>
                <w:rFonts w:ascii="Manrope" w:hAnsi="Manrope"/>
                <w:b w:val="0"/>
                <w:color w:val="171916"/>
                <w:sz w:val="18"/>
              </w:rPr>
              <w:t>Cinematic Modernism, Restrained Neo-brutalism, Swiss Typography</w:t>
            </w:r>
          </w:p>
        </w:tc>
      </w:tr>
      <w:tr>
        <w:tc>
          <w:tcPr>
            <w:tcW w:type="dxa" w:w="4968"/>
            <w:vAlign w:val="center"/>
          </w:tcPr>
          <w:p>
            <w:pPr>
              <w:spacing w:after="40"/>
            </w:pPr>
            <w:r/>
            <w:r>
              <w:rPr>
                <w:rFonts w:ascii="Manrope" w:hAnsi="Manrope"/>
                <w:b/>
                <w:color w:val="171916"/>
                <w:sz w:val="18"/>
              </w:rPr>
              <w:t>Primary font</w:t>
            </w:r>
          </w:p>
        </w:tc>
        <w:tc>
          <w:tcPr>
            <w:tcW w:type="dxa" w:w="4968"/>
            <w:vAlign w:val="center"/>
          </w:tcPr>
          <w:p>
            <w:pPr>
              <w:spacing w:after="40"/>
            </w:pPr>
            <w:r/>
            <w:r>
              <w:rPr>
                <w:rFonts w:ascii="Manrope" w:hAnsi="Manrope"/>
                <w:b w:val="0"/>
                <w:color w:val="171916"/>
                <w:sz w:val="18"/>
              </w:rPr>
              <w:t>Manrope</w:t>
            </w:r>
          </w:p>
        </w:tc>
      </w:tr>
      <w:tr>
        <w:tc>
          <w:tcPr>
            <w:tcW w:type="dxa" w:w="4968"/>
            <w:vAlign w:val="center"/>
          </w:tcPr>
          <w:p>
            <w:pPr>
              <w:spacing w:after="40"/>
            </w:pPr>
            <w:r/>
            <w:r>
              <w:rPr>
                <w:rFonts w:ascii="Manrope" w:hAnsi="Manrope"/>
                <w:b/>
                <w:color w:val="171916"/>
                <w:sz w:val="18"/>
              </w:rPr>
              <w:t>Technical font</w:t>
            </w:r>
          </w:p>
        </w:tc>
        <w:tc>
          <w:tcPr>
            <w:tcW w:type="dxa" w:w="4968"/>
            <w:vAlign w:val="center"/>
          </w:tcPr>
          <w:p>
            <w:pPr>
              <w:spacing w:after="40"/>
            </w:pPr>
            <w:r/>
            <w:r>
              <w:rPr>
                <w:rFonts w:ascii="Manrope" w:hAnsi="Manrope"/>
                <w:b w:val="0"/>
                <w:color w:val="171916"/>
                <w:sz w:val="18"/>
              </w:rPr>
              <w:t>IBM Plex Mono</w:t>
            </w:r>
          </w:p>
        </w:tc>
      </w:tr>
      <w:tr>
        <w:tc>
          <w:tcPr>
            <w:tcW w:type="dxa" w:w="4968"/>
            <w:vAlign w:val="center"/>
          </w:tcPr>
          <w:p>
            <w:pPr>
              <w:spacing w:after="40"/>
            </w:pPr>
            <w:r/>
            <w:r>
              <w:rPr>
                <w:rFonts w:ascii="Manrope" w:hAnsi="Manrope"/>
                <w:b/>
                <w:color w:val="171916"/>
                <w:sz w:val="18"/>
              </w:rPr>
              <w:t>Expressive font</w:t>
            </w:r>
          </w:p>
        </w:tc>
        <w:tc>
          <w:tcPr>
            <w:tcW w:type="dxa" w:w="4968"/>
            <w:vAlign w:val="center"/>
          </w:tcPr>
          <w:p>
            <w:pPr>
              <w:spacing w:after="40"/>
            </w:pPr>
            <w:r/>
            <w:r>
              <w:rPr>
                <w:rFonts w:ascii="Manrope" w:hAnsi="Manrope"/>
                <w:b w:val="0"/>
                <w:color w:val="171916"/>
                <w:sz w:val="18"/>
              </w:rPr>
              <w:t>Newsreader</w:t>
            </w:r>
          </w:p>
        </w:tc>
      </w:tr>
      <w:tr>
        <w:tc>
          <w:tcPr>
            <w:tcW w:type="dxa" w:w="4968"/>
            <w:vAlign w:val="center"/>
          </w:tcPr>
          <w:p>
            <w:pPr>
              <w:spacing w:after="40"/>
            </w:pPr>
            <w:r/>
            <w:r>
              <w:rPr>
                <w:rFonts w:ascii="Manrope" w:hAnsi="Manrope"/>
                <w:b/>
                <w:color w:val="171916"/>
                <w:sz w:val="18"/>
              </w:rPr>
              <w:t>Primary dark</w:t>
            </w:r>
          </w:p>
        </w:tc>
        <w:tc>
          <w:tcPr>
            <w:tcW w:type="dxa" w:w="4968"/>
            <w:vAlign w:val="center"/>
          </w:tcPr>
          <w:p>
            <w:pPr>
              <w:spacing w:after="40"/>
            </w:pPr>
            <w:r/>
            <w:r>
              <w:rPr>
                <w:rFonts w:ascii="Manrope" w:hAnsi="Manrope"/>
                <w:b w:val="0"/>
                <w:color w:val="171916"/>
                <w:sz w:val="18"/>
              </w:rPr>
              <w:t>#171916 Obsidian</w:t>
            </w:r>
          </w:p>
        </w:tc>
      </w:tr>
      <w:tr>
        <w:tc>
          <w:tcPr>
            <w:tcW w:type="dxa" w:w="4968"/>
            <w:vAlign w:val="center"/>
          </w:tcPr>
          <w:p>
            <w:pPr>
              <w:spacing w:after="40"/>
            </w:pPr>
            <w:r/>
            <w:r>
              <w:rPr>
                <w:rFonts w:ascii="Manrope" w:hAnsi="Manrope"/>
                <w:b/>
                <w:color w:val="171916"/>
                <w:sz w:val="18"/>
              </w:rPr>
              <w:t>Primary light</w:t>
            </w:r>
          </w:p>
        </w:tc>
        <w:tc>
          <w:tcPr>
            <w:tcW w:type="dxa" w:w="4968"/>
            <w:vAlign w:val="center"/>
          </w:tcPr>
          <w:p>
            <w:pPr>
              <w:spacing w:after="40"/>
            </w:pPr>
            <w:r/>
            <w:r>
              <w:rPr>
                <w:rFonts w:ascii="Manrope" w:hAnsi="Manrope"/>
                <w:b w:val="0"/>
                <w:color w:val="171916"/>
                <w:sz w:val="18"/>
              </w:rPr>
              <w:t>#F1EEE5 Warm Ivory</w:t>
            </w:r>
          </w:p>
        </w:tc>
      </w:tr>
      <w:tr>
        <w:tc>
          <w:tcPr>
            <w:tcW w:type="dxa" w:w="4968"/>
            <w:vAlign w:val="center"/>
          </w:tcPr>
          <w:p>
            <w:pPr>
              <w:spacing w:after="40"/>
            </w:pPr>
            <w:r/>
            <w:r>
              <w:rPr>
                <w:rFonts w:ascii="Manrope" w:hAnsi="Manrope"/>
                <w:b/>
                <w:color w:val="171916"/>
                <w:sz w:val="18"/>
              </w:rPr>
              <w:t>Signature accent</w:t>
            </w:r>
          </w:p>
        </w:tc>
        <w:tc>
          <w:tcPr>
            <w:tcW w:type="dxa" w:w="4968"/>
            <w:vAlign w:val="center"/>
          </w:tcPr>
          <w:p>
            <w:pPr>
              <w:spacing w:after="40"/>
            </w:pPr>
            <w:r/>
            <w:r>
              <w:rPr>
                <w:rFonts w:ascii="Manrope" w:hAnsi="Manrope"/>
                <w:b w:val="0"/>
                <w:color w:val="171916"/>
                <w:sz w:val="18"/>
              </w:rPr>
              <w:t>#737A58 Engineered Olive</w:t>
            </w:r>
          </w:p>
        </w:tc>
      </w:tr>
      <w:tr>
        <w:tc>
          <w:tcPr>
            <w:tcW w:type="dxa" w:w="4968"/>
            <w:vAlign w:val="center"/>
          </w:tcPr>
          <w:p>
            <w:pPr>
              <w:spacing w:after="40"/>
            </w:pPr>
            <w:r/>
            <w:r>
              <w:rPr>
                <w:rFonts w:ascii="Manrope" w:hAnsi="Manrope"/>
                <w:b/>
                <w:color w:val="171916"/>
                <w:sz w:val="18"/>
              </w:rPr>
              <w:t>Emotional accent</w:t>
            </w:r>
          </w:p>
        </w:tc>
        <w:tc>
          <w:tcPr>
            <w:tcW w:type="dxa" w:w="4968"/>
            <w:vAlign w:val="center"/>
          </w:tcPr>
          <w:p>
            <w:pPr>
              <w:spacing w:after="40"/>
            </w:pPr>
            <w:r/>
            <w:r>
              <w:rPr>
                <w:rFonts w:ascii="Manrope" w:hAnsi="Manrope"/>
                <w:b w:val="0"/>
                <w:color w:val="171916"/>
                <w:sz w:val="18"/>
              </w:rPr>
              <w:t>#C38B55 Tungsten Amber</w:t>
            </w:r>
          </w:p>
        </w:tc>
      </w:tr>
      <w:tr>
        <w:tc>
          <w:tcPr>
            <w:tcW w:type="dxa" w:w="4968"/>
            <w:vAlign w:val="center"/>
          </w:tcPr>
          <w:p>
            <w:pPr>
              <w:spacing w:after="40"/>
            </w:pPr>
            <w:r/>
            <w:r>
              <w:rPr>
                <w:rFonts w:ascii="Manrope" w:hAnsi="Manrope"/>
                <w:b/>
                <w:color w:val="171916"/>
                <w:sz w:val="18"/>
              </w:rPr>
              <w:t>Surface treatment</w:t>
            </w:r>
          </w:p>
        </w:tc>
        <w:tc>
          <w:tcPr>
            <w:tcW w:type="dxa" w:w="4968"/>
            <w:vAlign w:val="center"/>
          </w:tcPr>
          <w:p>
            <w:pPr>
              <w:spacing w:after="40"/>
            </w:pPr>
            <w:r/>
            <w:r>
              <w:rPr>
                <w:rFonts w:ascii="Manrope" w:hAnsi="Manrope"/>
                <w:b w:val="0"/>
                <w:color w:val="171916"/>
                <w:sz w:val="18"/>
              </w:rPr>
              <w:t>Matte, flat, tactile, minimal grain</w:t>
            </w:r>
          </w:p>
        </w:tc>
      </w:tr>
      <w:tr>
        <w:tc>
          <w:tcPr>
            <w:tcW w:type="dxa" w:w="4968"/>
            <w:vAlign w:val="center"/>
          </w:tcPr>
          <w:p>
            <w:pPr>
              <w:spacing w:after="40"/>
            </w:pPr>
            <w:r/>
            <w:r>
              <w:rPr>
                <w:rFonts w:ascii="Manrope" w:hAnsi="Manrope"/>
                <w:b/>
                <w:color w:val="171916"/>
                <w:sz w:val="18"/>
              </w:rPr>
              <w:t>Geometry</w:t>
            </w:r>
          </w:p>
        </w:tc>
        <w:tc>
          <w:tcPr>
            <w:tcW w:type="dxa" w:w="4968"/>
            <w:vAlign w:val="center"/>
          </w:tcPr>
          <w:p>
            <w:pPr>
              <w:spacing w:after="40"/>
            </w:pPr>
            <w:r/>
            <w:r>
              <w:rPr>
                <w:rFonts w:ascii="Manrope" w:hAnsi="Manrope"/>
                <w:b w:val="0"/>
                <w:color w:val="171916"/>
                <w:sz w:val="18"/>
              </w:rPr>
              <w:t>Architectural grid, fine rules, restrained curves</w:t>
            </w:r>
          </w:p>
        </w:tc>
      </w:tr>
      <w:tr>
        <w:tc>
          <w:tcPr>
            <w:tcW w:type="dxa" w:w="4968"/>
            <w:vAlign w:val="center"/>
          </w:tcPr>
          <w:p>
            <w:pPr>
              <w:spacing w:after="40"/>
            </w:pPr>
            <w:r/>
            <w:r>
              <w:rPr>
                <w:rFonts w:ascii="Manrope" w:hAnsi="Manrope"/>
                <w:b/>
                <w:color w:val="171916"/>
                <w:sz w:val="18"/>
              </w:rPr>
              <w:t>Composition</w:t>
            </w:r>
          </w:p>
        </w:tc>
        <w:tc>
          <w:tcPr>
            <w:tcW w:type="dxa" w:w="4968"/>
            <w:vAlign w:val="center"/>
          </w:tcPr>
          <w:p>
            <w:pPr>
              <w:spacing w:after="40"/>
            </w:pPr>
            <w:r/>
            <w:r>
              <w:rPr>
                <w:rFonts w:ascii="Manrope" w:hAnsi="Manrope"/>
                <w:b w:val="0"/>
                <w:color w:val="171916"/>
                <w:sz w:val="18"/>
              </w:rPr>
              <w:t>Structured alignment with selective asymmetry</w:t>
            </w:r>
          </w:p>
        </w:tc>
      </w:tr>
      <w:tr>
        <w:tc>
          <w:tcPr>
            <w:tcW w:type="dxa" w:w="4968"/>
            <w:vAlign w:val="center"/>
          </w:tcPr>
          <w:p>
            <w:pPr>
              <w:spacing w:after="40"/>
            </w:pPr>
            <w:r/>
            <w:r>
              <w:rPr>
                <w:rFonts w:ascii="Manrope" w:hAnsi="Manrope"/>
                <w:b/>
                <w:color w:val="171916"/>
                <w:sz w:val="18"/>
              </w:rPr>
              <w:t>Photography</w:t>
            </w:r>
          </w:p>
        </w:tc>
        <w:tc>
          <w:tcPr>
            <w:tcW w:type="dxa" w:w="4968"/>
            <w:vAlign w:val="center"/>
          </w:tcPr>
          <w:p>
            <w:pPr>
              <w:spacing w:after="40"/>
            </w:pPr>
            <w:r/>
            <w:r>
              <w:rPr>
                <w:rFonts w:ascii="Manrope" w:hAnsi="Manrope"/>
                <w:b w:val="0"/>
                <w:color w:val="171916"/>
                <w:sz w:val="18"/>
              </w:rPr>
              <w:t>Architectural, documentary, cinematic, muted</w:t>
            </w:r>
          </w:p>
        </w:tc>
      </w:tr>
      <w:tr>
        <w:tc>
          <w:tcPr>
            <w:tcW w:type="dxa" w:w="4968"/>
            <w:vAlign w:val="center"/>
          </w:tcPr>
          <w:p>
            <w:pPr>
              <w:spacing w:after="40"/>
            </w:pPr>
            <w:r/>
            <w:r>
              <w:rPr>
                <w:rFonts w:ascii="Manrope" w:hAnsi="Manrope"/>
                <w:b/>
                <w:color w:val="171916"/>
                <w:sz w:val="18"/>
              </w:rPr>
              <w:t>Motion</w:t>
            </w:r>
          </w:p>
        </w:tc>
        <w:tc>
          <w:tcPr>
            <w:tcW w:type="dxa" w:w="4968"/>
            <w:vAlign w:val="center"/>
          </w:tcPr>
          <w:p>
            <w:pPr>
              <w:spacing w:after="40"/>
            </w:pPr>
            <w:r/>
            <w:r>
              <w:rPr>
                <w:rFonts w:ascii="Manrope" w:hAnsi="Manrope"/>
                <w:b w:val="0"/>
                <w:color w:val="171916"/>
                <w:sz w:val="18"/>
              </w:rPr>
              <w:t>Purposeful, subtle, 160 to 280 ms</w:t>
            </w:r>
          </w:p>
        </w:tc>
      </w:tr>
      <w:tr>
        <w:tc>
          <w:tcPr>
            <w:tcW w:type="dxa" w:w="4968"/>
            <w:vAlign w:val="center"/>
          </w:tcPr>
          <w:p>
            <w:pPr>
              <w:spacing w:after="40"/>
            </w:pPr>
            <w:r/>
            <w:r>
              <w:rPr>
                <w:rFonts w:ascii="Manrope" w:hAnsi="Manrope"/>
                <w:b/>
                <w:color w:val="171916"/>
                <w:sz w:val="18"/>
              </w:rPr>
              <w:t>Dark/light balance</w:t>
            </w:r>
          </w:p>
        </w:tc>
        <w:tc>
          <w:tcPr>
            <w:tcW w:type="dxa" w:w="4968"/>
            <w:vAlign w:val="center"/>
          </w:tcPr>
          <w:p>
            <w:pPr>
              <w:spacing w:after="40"/>
            </w:pPr>
            <w:r/>
            <w:r>
              <w:rPr>
                <w:rFonts w:ascii="Manrope" w:hAnsi="Manrope"/>
                <w:b w:val="0"/>
                <w:color w:val="171916"/>
                <w:sz w:val="18"/>
              </w:rPr>
              <w:t>Dark signature, light working mode</w:t>
            </w:r>
          </w:p>
        </w:tc>
      </w:tr>
      <w:tr>
        <w:tc>
          <w:tcPr>
            <w:tcW w:type="dxa" w:w="4968"/>
            <w:vAlign w:val="center"/>
          </w:tcPr>
          <w:p>
            <w:pPr>
              <w:spacing w:after="40"/>
            </w:pPr>
            <w:r/>
            <w:r>
              <w:rPr>
                <w:rFonts w:ascii="Manrope" w:hAnsi="Manrope"/>
                <w:b/>
                <w:color w:val="171916"/>
                <w:sz w:val="18"/>
              </w:rPr>
              <w:t>Core principle</w:t>
            </w:r>
          </w:p>
        </w:tc>
        <w:tc>
          <w:tcPr>
            <w:tcW w:type="dxa" w:w="4968"/>
            <w:vAlign w:val="center"/>
          </w:tcPr>
          <w:p>
            <w:pPr>
              <w:spacing w:after="40"/>
            </w:pPr>
            <w:r/>
            <w:r>
              <w:rPr>
                <w:rFonts w:ascii="Manrope" w:hAnsi="Manrope"/>
                <w:b w:val="0"/>
                <w:color w:val="171916"/>
                <w:sz w:val="18"/>
              </w:rPr>
              <w:t>High contrast, low noise, meaningful detail</w:t>
            </w:r>
          </w:p>
        </w:tc>
      </w:tr>
    </w:tbl>
    <w:p>
      <w:pPr>
        <w:pStyle w:val="Heading2"/>
      </w:pPr>
      <w:r>
        <w:t>12. The final identity</w:t>
      </w:r>
    </w:p>
    <w:p>
      <w:r>
        <w:t>Imagine a warm ivory page with a sharp, oversized sans-serif headline. Beneath it sits a small monospaced coordinate or reference number. A fine architectural grid frames a charcoal field containing one organic orbital form in muted olive. A single point of amber light creates focus. The rest is breathing room.</w:t>
      </w:r>
    </w:p>
    <w:p>
      <w:r>
        <w:t>It should feel technical without being cold, ambitious without being loud, and creative without being chaotic. The identity does not attempt to show every part of you at once. It establishes a stable visual foundation that lets each part emerge when relevant.</w:t>
      </w:r>
    </w:p>
    <w:tbl>
      <w:tblPr>
        <w:tblW w:type="auto" w:w="0"/>
        <w:tblLook w:firstColumn="1" w:firstRow="1" w:lastColumn="0" w:lastRow="0" w:noHBand="0" w:noVBand="1" w:val="04A0"/>
      </w:tblPr>
      <w:tblGrid>
        <w:gridCol w:w="9936"/>
      </w:tblGrid>
      <w:tr>
        <w:tc>
          <w:tcPr>
            <w:tcW w:type="dxa" w:w="9936"/>
            <w:shd w:fill="171916"/>
          </w:tcPr>
          <w:p>
            <w:pPr>
              <w:spacing w:before="200" w:after="200"/>
            </w:pPr>
            <w:r/>
            <w:r>
              <w:rPr>
                <w:rFonts w:ascii="Manrope" w:hAnsi="Manrope"/>
                <w:b/>
                <w:color w:val="F1EEE5"/>
                <w:sz w:val="42"/>
              </w:rPr>
              <w:t>PRECISION IN THOUGHT.</w:t>
              <w:br/>
              <w:t>DEPTH IN EXPRESSION.</w:t>
              <w:br/>
              <w:t>INTENT IN EXECUTION.</w:t>
            </w:r>
          </w:p>
          <w:p>
            <w:r>
              <w:rPr>
                <w:rFonts w:ascii="Newsreader" w:hAnsi="Newsreader"/>
                <w:i/>
                <w:color w:val="A6A69A"/>
                <w:sz w:val="22"/>
              </w:rPr>
              <w:t>Design philosophy: Build a clear structure. Give it a human voice. Let the work carry the weight.</w:t>
            </w:r>
          </w:p>
        </w:tc>
      </w:tr>
    </w:tbl>
    <w:p/>
    <w:p>
      <w:r>
        <w:rPr>
          <w:b/>
        </w:rPr>
        <w:t xml:space="preserve">Confidence in design direction: 89%. </w:t>
      </w:r>
      <w:r>
        <w:t>Confidence that every individual color and font is an ideal personal preference: 70%. The direction is grounded in the combination of interests and values shared, while precise visual choices remain open to testing.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color w:val="777A72"/>
        <w:sz w:val="16"/>
      </w:rPr>
      <w:t>STRUCTURED INTENSITY  /  PERSONAL DESIGN LANGUAGE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anrope" w:hAnsi="Manrope"/>
      <w:color w:val="17191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Manrope" w:hAnsi="Manrope"/>
      <w:b/>
      <w:bCs/>
      <w:color w:val="737A58"/>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anrope" w:hAnsi="Manrope"/>
      <w:b/>
      <w:bCs/>
      <w:color w:val="171916"/>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Manrope" w:hAnsi="Manrope"/>
      <w:b/>
      <w:bCs/>
      <w:color w:val="17191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80"/>
      <w:contextualSpacing/>
    </w:pPr>
    <w:rPr>
      <w:rFonts w:asciiTheme="majorHAnsi" w:eastAsiaTheme="majorEastAsia" w:hAnsiTheme="majorHAnsi" w:cstheme="majorBidi" w:ascii="Manrope" w:hAnsi="Manrope"/>
      <w:b/>
      <w:color w:val="171916"/>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