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sz w:val="36"/>
        </w:rPr>
        <w:t>Enabling Dynamic File-Level Operations in Blockchain-Assisted Attribute-Based Multi-Keyword Search for Cloud-Edge-IoT</w:t>
      </w:r>
    </w:p>
    <w:p>
      <w:pPr>
        <w:spacing w:before="0" w:after="240"/>
        <w:jc w:val="center"/>
      </w:pPr>
      <w:r>
        <w:rPr>
          <w:rFonts w:ascii="Times New Roman" w:hAnsi="Times New Roman"/>
          <w:b/>
          <w:sz w:val="22"/>
        </w:rPr>
        <w:t>Prashant Singh (Reg. No: 24BYB1042)   |   Rushikesh Adak (Reg. No: 24BYB1055)</w:t>
        <w:br/>
      </w:r>
      <w:r>
        <w:rPr>
          <w:rFonts w:ascii="Times New Roman" w:hAnsi="Times New Roman"/>
          <w:sz w:val="20"/>
        </w:rPr>
        <w:t>School of Computer Science and Engineering, Vellore Institute of Technology (VIT), Chennai, Tamil Nadu, India</w:t>
        <w:br/>
      </w: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0F172A"/>
              <w:bottom w:val="none"/>
              <w:right w:val="none"/>
            </w:tcBorders>
          </w:tcPr>
          <w:p>
            <w:pPr>
              <w:spacing w:before="40" w:after="40" w:line="276" w:lineRule="auto"/>
            </w:pPr>
            <w:r>
              <w:rPr>
                <w:rFonts w:ascii="Times New Roman" w:hAnsi="Times New Roman"/>
                <w:b/>
                <w:color w:val="1E293B"/>
                <w:sz w:val="19"/>
              </w:rPr>
              <w:t xml:space="preserve">ABSTRACT: </w:t>
            </w:r>
            <w:r>
              <w:rPr>
                <w:rFonts w:ascii="Times New Roman" w:hAnsi="Times New Roman"/>
                <w:color w:val="334155"/>
                <w:sz w:val="19"/>
              </w:rPr>
              <w:t>In cloud-edge IoT architectures for healthcare, sharing encrypted Electronic Health Records (EHR) demands fine-grained access control, conjunctive keyword search, and verifiable query results. The BAMKS scheme (Cheng et al., Internet of Things, 2026) addressed multi-authority access control and blockchain result verification, yet its index update mechanism requires either re-indexing the entire collection or executing O(L * m) group updates across all existing documents. In this paper, we present BAMKS-D, an algorithmic prototype and architecture integration layer that introduces atomic file-level operations. Single-document addition operates in strict O(m) time, achieving a 5.27x speedup for pure index operations at L=5,000 files over Cheng et al. Section 5.10 updates (and 724.0x over naive full re-encryption). For like-for-like end-to-end file addition, BAMKS-D achieves a 5.46x speedup over Cheng et al. Single-document revocation is mapped directly to Ethereum Virtual Machine (EVM) storage (mapping(uint256 =&gt; bool) deletedDocRegistry), achieving O(1) constant-time lookup with zero array traversal on the deletion path. We validate the architecture through smart contract deployment on Ethereum Sepolia (0x17b09aad051BcD92EcfF3F08d87B1b333287cB1F), decentralized IPFS storage, and 30-run empirical benchmarks (m=3). An honest assessment of prototype algebraic assumptions, inverted index access-pattern leakage, and threats to validity is presented.</w:t>
              <w:br/>
              <w:br/>
              <w:t>Keywords: Searchable Encryption, Attribute-Based Encryption, Blockchain, Smart Contracts, Dynamic Revocation, Healthcare IoT, EVM.</w:t>
            </w:r>
          </w:p>
        </w:tc>
      </w:tr>
    </w:tbl>
    <w:p>
      <w:pPr>
        <w:spacing w:before="0" w:after="80"/>
      </w:pPr>
    </w:p>
    <w:p>
      <w:pPr>
        <w:keepNext/>
        <w:spacing w:before="280" w:after="80"/>
      </w:pPr>
      <w:r>
        <w:rPr>
          <w:rFonts w:ascii="Times New Roman" w:hAnsi="Times New Roman"/>
          <w:b/>
          <w:color w:val="0F172A"/>
          <w:sz w:val="24"/>
        </w:rPr>
        <w:t>I. INTRODUCTION</w:t>
      </w:r>
    </w:p>
    <w:p>
      <w:pPr>
        <w:spacing w:before="0" w:after="80" w:line="276" w:lineRule="auto"/>
        <w:jc w:val="both"/>
      </w:pPr>
      <w:r>
        <w:rPr>
          <w:rFonts w:ascii="Times New Roman" w:hAnsi="Times New Roman"/>
          <w:sz w:val="20"/>
        </w:rPr>
        <w:t>The proliferation of Internet of Medical Things (IoMT) devices—such as wireless cardiac monitors, ambulatory pulse oximeters, and bedside telemetry sensors—has transformed contemporary healthcare delivery [2], [3]. Modern medical facilities generate voluminous streams of Electronic Health Records (EHR) that must be archived securely in external Cloud Storage Providers (CSP) while preserving clinician query capabilities. Because medical data contains sensitive diagnostic diagnoses protected under regulatory statutes (e.g., HIPAA and GDPR), plaintexts must be encrypted under fine-grained access policies before outsourcing [4].</w:t>
      </w:r>
    </w:p>
    <w:p>
      <w:pPr>
        <w:spacing w:before="0" w:after="80" w:line="276" w:lineRule="auto"/>
        <w:jc w:val="both"/>
      </w:pPr>
      <w:r>
        <w:rPr>
          <w:rFonts w:ascii="Times New Roman" w:hAnsi="Times New Roman"/>
          <w:sz w:val="20"/>
        </w:rPr>
        <w:t>To reconcile cryptographic confidentiality with expressive querying, Ciphertext-Policy Attribute-Based Keyword Search (CP-ABKS) schemes were formulated, originating from verifiable attribute-based search by Zheng et al. [6] building upon foundational searchable encryption by Boneh et al. [7] and CP-ABE by Bethencourt et al. [8]. In CP-ABKS, data owners encrypt documents under an access structure (e.g., (Role_Doctor and Dept_Cardiology)), and only clinicians with valid attribute credentials can generate search trapdoors or decrypt returned records [9], [10], [11]. Advanced variants introduced non-monotonic policies [12], multi-authority decentralized key generation [13], [14], predicate evaluations [15], and dynamic broadcast structures [21]. Recently, Cheng et al. [1] proposed BAMKS, introducing decentralized multi-authority key generation, multi-owner collaborative indexing, and a blockchain Result Verification Smart Contract (RVSC) utilizing aggregated Schnorr Non-Interactive Zero-Knowledge (SNIZK) proofs [16].</w:t>
      </w:r>
    </w:p>
    <w:p>
      <w:pPr>
        <w:spacing w:before="0" w:after="80" w:line="276" w:lineRule="auto"/>
        <w:jc w:val="both"/>
      </w:pPr>
      <w:r>
        <w:rPr>
          <w:rFonts w:ascii="Times New Roman" w:hAnsi="Times New Roman"/>
          <w:sz w:val="20"/>
        </w:rPr>
        <w:t>The Open Challenge in BAMKS: In Section 8 of their foundational paper, Cheng et al. identified a critical operational bottleneck [1]: their architecture supports dynamic user credential updates, but does not define an efficient mechanism for single-file additions or deletions. Adding a single document requires either re-encrypting and re-indexing the entire document collection (naive baseline), or updating the entire inverted index via modular multiplication of an update token X_upd across all L * m index entries (Section 5.10 baseline) [1]. For an enterprise healthcare repository with L = 5,000 records and m = 3 keywords, updating 15,000 index entries introduces noticeable latency. Furthermore, document deletion was not defined in Cheng et al. [1], forcing reliance on full corpus re-encryption (O(L * m) assumption) or cloud server honesty.</w:t>
      </w:r>
    </w:p>
    <w:p>
      <w:pPr>
        <w:spacing w:before="0" w:after="80" w:line="276" w:lineRule="auto"/>
        <w:jc w:val="both"/>
      </w:pPr>
      <w:r>
        <w:rPr>
          <w:rFonts w:ascii="Times New Roman" w:hAnsi="Times New Roman"/>
          <w:sz w:val="20"/>
        </w:rPr>
        <w:t>Contributions: In this work, we propose BAMKS-D, an architecture integration and dynamic evaluation framework that addresses these limitations:</w:t>
        <w:br/>
        <w:t>• Atomic Single-Document Addition (O(m)): Decouples inverted keyword indexing so appending an EHR requires generating tokens only for its m keywords.</w:t>
        <w:br/>
        <w:t>• Instant On-Chain Document Revocation (O(1)): Employs EVM direct mapping storage (deletedDocRegistry) with zero array traversal on the deletion path.</w:t>
        <w:br/>
        <w:t>• Live Ethereum Sepolia Deployment: Deployed BAMKS_Registry.sol contract on Ethereum Sepolia (0x17b09aad051BcD92EcfF3F08d87B1b333287cB1F) with mined receipts.</w:t>
        <w:br/>
        <w:t>• Rigorous Fair Benchmarks (30 Runs): Evaluates both naive re-encryption and true Cheng et al. Section 5.10 index updates without warm-up anomalies, demonstrating a 5.27x speedup for pure index updates and 5.46x for like-for-like full file additions at L=5,000 files on an Intel Core i5-13420H platform.</w:t>
      </w:r>
    </w:p>
    <w:p>
      <w:pPr>
        <w:keepNext/>
        <w:spacing w:before="280" w:after="80"/>
      </w:pPr>
      <w:r>
        <w:rPr>
          <w:rFonts w:ascii="Times New Roman" w:hAnsi="Times New Roman"/>
          <w:b/>
          <w:color w:val="0F172A"/>
          <w:sz w:val="24"/>
        </w:rPr>
        <w:t>II. RELATED WORK</w:t>
      </w:r>
    </w:p>
    <w:p>
      <w:pPr>
        <w:spacing w:before="0" w:after="80" w:line="276" w:lineRule="auto"/>
        <w:jc w:val="both"/>
      </w:pPr>
      <w:r>
        <w:rPr>
          <w:rFonts w:ascii="Times New Roman" w:hAnsi="Times New Roman"/>
          <w:sz w:val="20"/>
        </w:rPr>
        <w:t>Searchable encryption originated with symmetric constructions by Song et al. [17], formal security definitions by Curtmola et al. [18], and dynamic extensions by Kamara et al. [19] and Bost [20]. In the asymmetric domain, public-key searchable encryption (PEKS) was introduced by Boneh et al. [7]. To provide expressive access policies, Zheng et al. [6] developed VABKS for verifiable attribute-based search. Recent research has integrated blockchain ledgers to eliminate single points of failure in cloud servers [22], [23]. Liu et al. [24] designed EMK-ABSE for cloud-edge multi-keyword search, while Su et al. [25] formulated BA-RMKABSE supporting keyword updates in smart health systems. Zhang et al. [5] proposed ABCKS for conjunctive keywords with verifiable fairness. Liang et al. [6] developed VMSE, which supports keyword updating in multi-user settings. Cheng et al. [1] synthesized multi-owner collaborative search with aggregated SNIZK result verification (BAMKS), but left single-document dynamic updates unresolved. Table I contrasts BAMKS-D against foundational schemes.</w:t>
      </w:r>
    </w:p>
    <w:p>
      <w:pPr>
        <w:spacing w:before="120" w:after="40"/>
        <w:jc w:val="center"/>
      </w:pPr>
      <w:r>
        <w:rPr>
          <w:b/>
          <w:sz w:val="19"/>
        </w:rPr>
        <w:t>TABLE I: COMPARISON OF SEARCHABLE ENCRYPTION SCHEMES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592"/>
            <w:shd w:val="clear" w:color="auto" w:fill="1E293B"/>
            <w:tcMar>
              <w:top w:w="60" w:type="dxa"/>
              <w:bottom w:w="60" w:type="dxa"/>
              <w:left w:w="80" w:type="dxa"/>
              <w:right w:w="80" w:type="dxa"/>
            </w:tcMar>
          </w:tcPr>
          <w:p>
            <w:pPr>
              <w:jc w:val="center"/>
            </w:pPr>
            <w:r>
              <w:rPr>
                <w:b/>
                <w:color w:val="FFFFFF"/>
                <w:sz w:val="17"/>
              </w:rPr>
              <w:t>Scheme</w:t>
            </w:r>
          </w:p>
        </w:tc>
        <w:tc>
          <w:tcPr>
            <w:tcW w:type="dxa" w:w="1584"/>
            <w:shd w:val="clear" w:color="auto" w:fill="1E293B"/>
            <w:tcMar>
              <w:top w:w="60" w:type="dxa"/>
              <w:bottom w:w="60" w:type="dxa"/>
              <w:left w:w="80" w:type="dxa"/>
              <w:right w:w="80" w:type="dxa"/>
            </w:tcMar>
          </w:tcPr>
          <w:p>
            <w:pPr>
              <w:jc w:val="center"/>
            </w:pPr>
            <w:r>
              <w:rPr>
                <w:b/>
                <w:color w:val="FFFFFF"/>
                <w:sz w:val="17"/>
              </w:rPr>
              <w:t>Query Type</w:t>
            </w:r>
          </w:p>
        </w:tc>
        <w:tc>
          <w:tcPr>
            <w:tcW w:type="dxa" w:w="2304"/>
            <w:shd w:val="clear" w:color="auto" w:fill="1E293B"/>
            <w:tcMar>
              <w:top w:w="60" w:type="dxa"/>
              <w:bottom w:w="60" w:type="dxa"/>
              <w:left w:w="80" w:type="dxa"/>
              <w:right w:w="80" w:type="dxa"/>
            </w:tcMar>
          </w:tcPr>
          <w:p>
            <w:pPr>
              <w:jc w:val="center"/>
            </w:pPr>
            <w:r>
              <w:rPr>
                <w:b/>
                <w:color w:val="FFFFFF"/>
                <w:sz w:val="17"/>
              </w:rPr>
              <w:t>Access Control</w:t>
            </w:r>
          </w:p>
        </w:tc>
        <w:tc>
          <w:tcPr>
            <w:tcW w:type="dxa" w:w="2304"/>
            <w:shd w:val="clear" w:color="auto" w:fill="1E293B"/>
            <w:tcMar>
              <w:top w:w="60" w:type="dxa"/>
              <w:bottom w:w="60" w:type="dxa"/>
              <w:left w:w="80" w:type="dxa"/>
              <w:right w:w="80" w:type="dxa"/>
            </w:tcMar>
          </w:tcPr>
          <w:p>
            <w:pPr>
              <w:jc w:val="center"/>
            </w:pPr>
            <w:r>
              <w:rPr>
                <w:b/>
                <w:color w:val="FFFFFF"/>
                <w:sz w:val="17"/>
              </w:rPr>
              <w:t>Dynamic Scope</w:t>
            </w:r>
          </w:p>
        </w:tc>
        <w:tc>
          <w:tcPr>
            <w:tcW w:type="dxa" w:w="1584"/>
            <w:shd w:val="clear" w:color="auto" w:fill="1E293B"/>
            <w:tcMar>
              <w:top w:w="60" w:type="dxa"/>
              <w:bottom w:w="60" w:type="dxa"/>
              <w:left w:w="80" w:type="dxa"/>
              <w:right w:w="80" w:type="dxa"/>
            </w:tcMar>
          </w:tcPr>
          <w:p>
            <w:pPr>
              <w:jc w:val="center"/>
            </w:pPr>
            <w:r>
              <w:rPr>
                <w:b/>
                <w:color w:val="FFFFFF"/>
                <w:sz w:val="17"/>
              </w:rPr>
              <w:t>Deletion Cost</w:t>
            </w:r>
          </w:p>
        </w:tc>
      </w:tr>
      <w:tr>
        <w:tc>
          <w:tcPr>
            <w:tcW w:type="dxa" w:w="2592"/>
            <w:shd w:val="clear" w:color="auto" w:fill="F8FAFC"/>
            <w:tcMar>
              <w:top w:w="50" w:type="dxa"/>
              <w:bottom w:w="50" w:type="dxa"/>
              <w:left w:w="70" w:type="dxa"/>
              <w:right w:w="70" w:type="dxa"/>
            </w:tcMar>
          </w:tcPr>
          <w:p>
            <w:pPr>
              <w:jc w:val="center"/>
            </w:pPr>
            <w:r>
              <w:rPr>
                <w:sz w:val="17"/>
              </w:rPr>
              <w:t>VABKS (Zheng et al., 2014) [6]</w:t>
            </w:r>
          </w:p>
        </w:tc>
        <w:tc>
          <w:tcPr>
            <w:tcW w:type="dxa" w:w="1584"/>
            <w:shd w:val="clear" w:color="auto" w:fill="F8FAFC"/>
            <w:tcMar>
              <w:top w:w="50" w:type="dxa"/>
              <w:bottom w:w="50" w:type="dxa"/>
              <w:left w:w="70" w:type="dxa"/>
              <w:right w:w="70" w:type="dxa"/>
            </w:tcMar>
          </w:tcPr>
          <w:p>
            <w:pPr>
              <w:jc w:val="center"/>
            </w:pPr>
            <w:r>
              <w:rPr>
                <w:sz w:val="17"/>
              </w:rPr>
              <w:t>Single</w:t>
            </w:r>
          </w:p>
        </w:tc>
        <w:tc>
          <w:tcPr>
            <w:tcW w:type="dxa" w:w="2304"/>
            <w:shd w:val="clear" w:color="auto" w:fill="F8FAFC"/>
            <w:tcMar>
              <w:top w:w="50" w:type="dxa"/>
              <w:bottom w:w="50" w:type="dxa"/>
              <w:left w:w="70" w:type="dxa"/>
              <w:right w:w="70" w:type="dxa"/>
            </w:tcMar>
          </w:tcPr>
          <w:p>
            <w:pPr>
              <w:jc w:val="center"/>
            </w:pPr>
            <w:r>
              <w:rPr>
                <w:sz w:val="17"/>
              </w:rPr>
              <w:t>Single-Auth</w:t>
            </w:r>
          </w:p>
        </w:tc>
        <w:tc>
          <w:tcPr>
            <w:tcW w:type="dxa" w:w="2304"/>
            <w:shd w:val="clear" w:color="auto" w:fill="F8FAFC"/>
            <w:tcMar>
              <w:top w:w="50" w:type="dxa"/>
              <w:bottom w:w="50" w:type="dxa"/>
              <w:left w:w="70" w:type="dxa"/>
              <w:right w:w="70" w:type="dxa"/>
            </w:tcMar>
          </w:tcPr>
          <w:p>
            <w:pPr>
              <w:jc w:val="center"/>
            </w:pPr>
            <w:r>
              <w:rPr>
                <w:sz w:val="17"/>
              </w:rPr>
              <w:t>Static Index</w:t>
            </w:r>
          </w:p>
        </w:tc>
        <w:tc>
          <w:tcPr>
            <w:tcW w:type="dxa" w:w="1584"/>
            <w:shd w:val="clear" w:color="auto" w:fill="F8FAFC"/>
            <w:tcMar>
              <w:top w:w="50" w:type="dxa"/>
              <w:bottom w:w="50" w:type="dxa"/>
              <w:left w:w="70" w:type="dxa"/>
              <w:right w:w="70" w:type="dxa"/>
            </w:tcMar>
          </w:tcPr>
          <w:p>
            <w:pPr>
              <w:jc w:val="center"/>
            </w:pPr>
            <w:r>
              <w:rPr>
                <w:sz w:val="17"/>
              </w:rPr>
              <w:t>N/A</w:t>
            </w:r>
          </w:p>
        </w:tc>
      </w:tr>
      <w:tr>
        <w:tc>
          <w:tcPr>
            <w:tcW w:type="dxa" w:w="2592"/>
            <w:shd w:val="clear" w:color="auto" w:fill="FFFFFF"/>
            <w:tcMar>
              <w:top w:w="50" w:type="dxa"/>
              <w:bottom w:w="50" w:type="dxa"/>
              <w:left w:w="70" w:type="dxa"/>
              <w:right w:w="70" w:type="dxa"/>
            </w:tcMar>
          </w:tcPr>
          <w:p>
            <w:pPr>
              <w:jc w:val="center"/>
            </w:pPr>
            <w:r>
              <w:rPr>
                <w:sz w:val="17"/>
              </w:rPr>
              <w:t>EMK-ABSE (Liu et al., 2022) [24]</w:t>
            </w:r>
          </w:p>
        </w:tc>
        <w:tc>
          <w:tcPr>
            <w:tcW w:type="dxa" w:w="1584"/>
            <w:shd w:val="clear" w:color="auto" w:fill="FFFFFF"/>
            <w:tcMar>
              <w:top w:w="50" w:type="dxa"/>
              <w:bottom w:w="50" w:type="dxa"/>
              <w:left w:w="70" w:type="dxa"/>
              <w:right w:w="70" w:type="dxa"/>
            </w:tcMar>
          </w:tcPr>
          <w:p>
            <w:pPr>
              <w:jc w:val="center"/>
            </w:pPr>
            <w:r>
              <w:rPr>
                <w:sz w:val="17"/>
              </w:rPr>
              <w:t>Conjunctive</w:t>
            </w:r>
          </w:p>
        </w:tc>
        <w:tc>
          <w:tcPr>
            <w:tcW w:type="dxa" w:w="2304"/>
            <w:shd w:val="clear" w:color="auto" w:fill="FFFFFF"/>
            <w:tcMar>
              <w:top w:w="50" w:type="dxa"/>
              <w:bottom w:w="50" w:type="dxa"/>
              <w:left w:w="70" w:type="dxa"/>
              <w:right w:w="70" w:type="dxa"/>
            </w:tcMar>
          </w:tcPr>
          <w:p>
            <w:pPr>
              <w:jc w:val="center"/>
            </w:pPr>
            <w:r>
              <w:rPr>
                <w:sz w:val="17"/>
              </w:rPr>
              <w:t>Edge-Assisted</w:t>
            </w:r>
          </w:p>
        </w:tc>
        <w:tc>
          <w:tcPr>
            <w:tcW w:type="dxa" w:w="2304"/>
            <w:shd w:val="clear" w:color="auto" w:fill="FFFFFF"/>
            <w:tcMar>
              <w:top w:w="50" w:type="dxa"/>
              <w:bottom w:w="50" w:type="dxa"/>
              <w:left w:w="70" w:type="dxa"/>
              <w:right w:w="70" w:type="dxa"/>
            </w:tcMar>
          </w:tcPr>
          <w:p>
            <w:pPr>
              <w:jc w:val="center"/>
            </w:pPr>
            <w:r>
              <w:rPr>
                <w:sz w:val="17"/>
              </w:rPr>
              <w:t>Static Index</w:t>
            </w:r>
          </w:p>
        </w:tc>
        <w:tc>
          <w:tcPr>
            <w:tcW w:type="dxa" w:w="1584"/>
            <w:shd w:val="clear" w:color="auto" w:fill="FFFFFF"/>
            <w:tcMar>
              <w:top w:w="50" w:type="dxa"/>
              <w:bottom w:w="50" w:type="dxa"/>
              <w:left w:w="70" w:type="dxa"/>
              <w:right w:w="70" w:type="dxa"/>
            </w:tcMar>
          </w:tcPr>
          <w:p>
            <w:pPr>
              <w:jc w:val="center"/>
            </w:pPr>
            <w:r>
              <w:rPr>
                <w:sz w:val="17"/>
              </w:rPr>
              <w:t>N/A</w:t>
            </w:r>
          </w:p>
        </w:tc>
      </w:tr>
      <w:tr>
        <w:tc>
          <w:tcPr>
            <w:tcW w:type="dxa" w:w="2592"/>
            <w:shd w:val="clear" w:color="auto" w:fill="F8FAFC"/>
            <w:tcMar>
              <w:top w:w="50" w:type="dxa"/>
              <w:bottom w:w="50" w:type="dxa"/>
              <w:left w:w="70" w:type="dxa"/>
              <w:right w:w="70" w:type="dxa"/>
            </w:tcMar>
          </w:tcPr>
          <w:p>
            <w:pPr>
              <w:jc w:val="center"/>
            </w:pPr>
            <w:r>
              <w:rPr>
                <w:sz w:val="17"/>
              </w:rPr>
              <w:t>BA-RMKABSE (Su et al., 2022) [25]</w:t>
            </w:r>
          </w:p>
        </w:tc>
        <w:tc>
          <w:tcPr>
            <w:tcW w:type="dxa" w:w="1584"/>
            <w:shd w:val="clear" w:color="auto" w:fill="F8FAFC"/>
            <w:tcMar>
              <w:top w:w="50" w:type="dxa"/>
              <w:bottom w:w="50" w:type="dxa"/>
              <w:left w:w="70" w:type="dxa"/>
              <w:right w:w="70" w:type="dxa"/>
            </w:tcMar>
          </w:tcPr>
          <w:p>
            <w:pPr>
              <w:jc w:val="center"/>
            </w:pPr>
            <w:r>
              <w:rPr>
                <w:sz w:val="17"/>
              </w:rPr>
              <w:t>Conjunctive</w:t>
            </w:r>
          </w:p>
        </w:tc>
        <w:tc>
          <w:tcPr>
            <w:tcW w:type="dxa" w:w="2304"/>
            <w:shd w:val="clear" w:color="auto" w:fill="F8FAFC"/>
            <w:tcMar>
              <w:top w:w="50" w:type="dxa"/>
              <w:bottom w:w="50" w:type="dxa"/>
              <w:left w:w="70" w:type="dxa"/>
              <w:right w:w="70" w:type="dxa"/>
            </w:tcMar>
          </w:tcPr>
          <w:p>
            <w:pPr>
              <w:jc w:val="center"/>
            </w:pPr>
            <w:r>
              <w:rPr>
                <w:sz w:val="17"/>
              </w:rPr>
              <w:t>Attr Hiding</w:t>
            </w:r>
          </w:p>
        </w:tc>
        <w:tc>
          <w:tcPr>
            <w:tcW w:type="dxa" w:w="2304"/>
            <w:shd w:val="clear" w:color="auto" w:fill="F8FAFC"/>
            <w:tcMar>
              <w:top w:w="50" w:type="dxa"/>
              <w:bottom w:w="50" w:type="dxa"/>
              <w:left w:w="70" w:type="dxa"/>
              <w:right w:w="70" w:type="dxa"/>
            </w:tcMar>
          </w:tcPr>
          <w:p>
            <w:pPr>
              <w:jc w:val="center"/>
            </w:pPr>
            <w:r>
              <w:rPr>
                <w:sz w:val="17"/>
              </w:rPr>
              <w:t>Keyword Update</w:t>
            </w:r>
          </w:p>
        </w:tc>
        <w:tc>
          <w:tcPr>
            <w:tcW w:type="dxa" w:w="1584"/>
            <w:shd w:val="clear" w:color="auto" w:fill="F8FAFC"/>
            <w:tcMar>
              <w:top w:w="50" w:type="dxa"/>
              <w:bottom w:w="50" w:type="dxa"/>
              <w:left w:w="70" w:type="dxa"/>
              <w:right w:w="70" w:type="dxa"/>
            </w:tcMar>
          </w:tcPr>
          <w:p>
            <w:pPr>
              <w:jc w:val="center"/>
            </w:pPr>
            <w:r>
              <w:rPr>
                <w:sz w:val="17"/>
              </w:rPr>
              <w:t>N/A</w:t>
            </w:r>
          </w:p>
        </w:tc>
      </w:tr>
      <w:tr>
        <w:tc>
          <w:tcPr>
            <w:tcW w:type="dxa" w:w="2592"/>
            <w:shd w:val="clear" w:color="auto" w:fill="FFFFFF"/>
            <w:tcMar>
              <w:top w:w="50" w:type="dxa"/>
              <w:bottom w:w="50" w:type="dxa"/>
              <w:left w:w="70" w:type="dxa"/>
              <w:right w:w="70" w:type="dxa"/>
            </w:tcMar>
          </w:tcPr>
          <w:p>
            <w:pPr>
              <w:jc w:val="center"/>
            </w:pPr>
            <w:r>
              <w:rPr>
                <w:sz w:val="17"/>
              </w:rPr>
              <w:t>ABCKS (Zhang et al., 2023) [5]</w:t>
            </w:r>
          </w:p>
        </w:tc>
        <w:tc>
          <w:tcPr>
            <w:tcW w:type="dxa" w:w="1584"/>
            <w:shd w:val="clear" w:color="auto" w:fill="FFFFFF"/>
            <w:tcMar>
              <w:top w:w="50" w:type="dxa"/>
              <w:bottom w:w="50" w:type="dxa"/>
              <w:left w:w="70" w:type="dxa"/>
              <w:right w:w="70" w:type="dxa"/>
            </w:tcMar>
          </w:tcPr>
          <w:p>
            <w:pPr>
              <w:jc w:val="center"/>
            </w:pPr>
            <w:r>
              <w:rPr>
                <w:sz w:val="17"/>
              </w:rPr>
              <w:t>Conjunctive</w:t>
            </w:r>
          </w:p>
        </w:tc>
        <w:tc>
          <w:tcPr>
            <w:tcW w:type="dxa" w:w="2304"/>
            <w:shd w:val="clear" w:color="auto" w:fill="FFFFFF"/>
            <w:tcMar>
              <w:top w:w="50" w:type="dxa"/>
              <w:bottom w:w="50" w:type="dxa"/>
              <w:left w:w="70" w:type="dxa"/>
              <w:right w:w="70" w:type="dxa"/>
            </w:tcMar>
          </w:tcPr>
          <w:p>
            <w:pPr>
              <w:jc w:val="center"/>
            </w:pPr>
            <w:r>
              <w:rPr>
                <w:sz w:val="17"/>
              </w:rPr>
              <w:t>Multi-Auth</w:t>
            </w:r>
          </w:p>
        </w:tc>
        <w:tc>
          <w:tcPr>
            <w:tcW w:type="dxa" w:w="2304"/>
            <w:shd w:val="clear" w:color="auto" w:fill="FFFFFF"/>
            <w:tcMar>
              <w:top w:w="50" w:type="dxa"/>
              <w:bottom w:w="50" w:type="dxa"/>
              <w:left w:w="70" w:type="dxa"/>
              <w:right w:w="70" w:type="dxa"/>
            </w:tcMar>
          </w:tcPr>
          <w:p>
            <w:pPr>
              <w:jc w:val="center"/>
            </w:pPr>
            <w:r>
              <w:rPr>
                <w:sz w:val="17"/>
              </w:rPr>
              <w:t>Static Index</w:t>
            </w:r>
          </w:p>
        </w:tc>
        <w:tc>
          <w:tcPr>
            <w:tcW w:type="dxa" w:w="1584"/>
            <w:shd w:val="clear" w:color="auto" w:fill="FFFFFF"/>
            <w:tcMar>
              <w:top w:w="50" w:type="dxa"/>
              <w:bottom w:w="50" w:type="dxa"/>
              <w:left w:w="70" w:type="dxa"/>
              <w:right w:w="70" w:type="dxa"/>
            </w:tcMar>
          </w:tcPr>
          <w:p>
            <w:pPr>
              <w:jc w:val="center"/>
            </w:pPr>
            <w:r>
              <w:rPr>
                <w:sz w:val="17"/>
              </w:rPr>
              <w:t>N/A</w:t>
            </w:r>
          </w:p>
        </w:tc>
      </w:tr>
      <w:tr>
        <w:tc>
          <w:tcPr>
            <w:tcW w:type="dxa" w:w="2592"/>
            <w:shd w:val="clear" w:color="auto" w:fill="F8FAFC"/>
            <w:tcMar>
              <w:top w:w="50" w:type="dxa"/>
              <w:bottom w:w="50" w:type="dxa"/>
              <w:left w:w="70" w:type="dxa"/>
              <w:right w:w="70" w:type="dxa"/>
            </w:tcMar>
          </w:tcPr>
          <w:p>
            <w:pPr>
              <w:jc w:val="center"/>
            </w:pPr>
            <w:r>
              <w:rPr>
                <w:sz w:val="17"/>
              </w:rPr>
              <w:t>VMSE (Liang et al., 2023) [6]</w:t>
            </w:r>
          </w:p>
        </w:tc>
        <w:tc>
          <w:tcPr>
            <w:tcW w:type="dxa" w:w="1584"/>
            <w:shd w:val="clear" w:color="auto" w:fill="F8FAFC"/>
            <w:tcMar>
              <w:top w:w="50" w:type="dxa"/>
              <w:bottom w:w="50" w:type="dxa"/>
              <w:left w:w="70" w:type="dxa"/>
              <w:right w:w="70" w:type="dxa"/>
            </w:tcMar>
          </w:tcPr>
          <w:p>
            <w:pPr>
              <w:jc w:val="center"/>
            </w:pPr>
            <w:r>
              <w:rPr>
                <w:sz w:val="17"/>
              </w:rPr>
              <w:t>Conjunctive</w:t>
            </w:r>
          </w:p>
        </w:tc>
        <w:tc>
          <w:tcPr>
            <w:tcW w:type="dxa" w:w="2304"/>
            <w:shd w:val="clear" w:color="auto" w:fill="F8FAFC"/>
            <w:tcMar>
              <w:top w:w="50" w:type="dxa"/>
              <w:bottom w:w="50" w:type="dxa"/>
              <w:left w:w="70" w:type="dxa"/>
              <w:right w:w="70" w:type="dxa"/>
            </w:tcMar>
          </w:tcPr>
          <w:p>
            <w:pPr>
              <w:jc w:val="center"/>
            </w:pPr>
            <w:r>
              <w:rPr>
                <w:sz w:val="17"/>
              </w:rPr>
              <w:t>Multi-User</w:t>
            </w:r>
          </w:p>
        </w:tc>
        <w:tc>
          <w:tcPr>
            <w:tcW w:type="dxa" w:w="2304"/>
            <w:shd w:val="clear" w:color="auto" w:fill="F8FAFC"/>
            <w:tcMar>
              <w:top w:w="50" w:type="dxa"/>
              <w:bottom w:w="50" w:type="dxa"/>
              <w:left w:w="70" w:type="dxa"/>
              <w:right w:w="70" w:type="dxa"/>
            </w:tcMar>
          </w:tcPr>
          <w:p>
            <w:pPr>
              <w:jc w:val="center"/>
            </w:pPr>
            <w:r>
              <w:rPr>
                <w:sz w:val="17"/>
              </w:rPr>
              <w:t>Keyword Update</w:t>
            </w:r>
          </w:p>
        </w:tc>
        <w:tc>
          <w:tcPr>
            <w:tcW w:type="dxa" w:w="1584"/>
            <w:shd w:val="clear" w:color="auto" w:fill="F8FAFC"/>
            <w:tcMar>
              <w:top w:w="50" w:type="dxa"/>
              <w:bottom w:w="50" w:type="dxa"/>
              <w:left w:w="70" w:type="dxa"/>
              <w:right w:w="70" w:type="dxa"/>
            </w:tcMar>
          </w:tcPr>
          <w:p>
            <w:pPr>
              <w:jc w:val="center"/>
            </w:pPr>
            <w:r>
              <w:rPr>
                <w:sz w:val="17"/>
              </w:rPr>
              <w:t>N/A</w:t>
            </w:r>
          </w:p>
        </w:tc>
      </w:tr>
      <w:tr>
        <w:tc>
          <w:tcPr>
            <w:tcW w:type="dxa" w:w="2592"/>
            <w:shd w:val="clear" w:color="auto" w:fill="FFFFFF"/>
            <w:tcMar>
              <w:top w:w="50" w:type="dxa"/>
              <w:bottom w:w="50" w:type="dxa"/>
              <w:left w:w="70" w:type="dxa"/>
              <w:right w:w="70" w:type="dxa"/>
            </w:tcMar>
          </w:tcPr>
          <w:p>
            <w:pPr>
              <w:jc w:val="center"/>
            </w:pPr>
            <w:r>
              <w:rPr>
                <w:sz w:val="17"/>
              </w:rPr>
              <w:t>BAMKS (Cheng et al., 2026) [1]</w:t>
            </w:r>
          </w:p>
        </w:tc>
        <w:tc>
          <w:tcPr>
            <w:tcW w:type="dxa" w:w="1584"/>
            <w:shd w:val="clear" w:color="auto" w:fill="FFFFFF"/>
            <w:tcMar>
              <w:top w:w="50" w:type="dxa"/>
              <w:bottom w:w="50" w:type="dxa"/>
              <w:left w:w="70" w:type="dxa"/>
              <w:right w:w="70" w:type="dxa"/>
            </w:tcMar>
          </w:tcPr>
          <w:p>
            <w:pPr>
              <w:jc w:val="center"/>
            </w:pPr>
            <w:r>
              <w:rPr>
                <w:sz w:val="17"/>
              </w:rPr>
              <w:t>Conjunctive</w:t>
            </w:r>
          </w:p>
        </w:tc>
        <w:tc>
          <w:tcPr>
            <w:tcW w:type="dxa" w:w="2304"/>
            <w:shd w:val="clear" w:color="auto" w:fill="FFFFFF"/>
            <w:tcMar>
              <w:top w:w="50" w:type="dxa"/>
              <w:bottom w:w="50" w:type="dxa"/>
              <w:left w:w="70" w:type="dxa"/>
              <w:right w:w="70" w:type="dxa"/>
            </w:tcMar>
          </w:tcPr>
          <w:p>
            <w:pPr>
              <w:jc w:val="center"/>
            </w:pPr>
            <w:r>
              <w:rPr>
                <w:sz w:val="17"/>
              </w:rPr>
              <w:t>Multi-Auth CP-ABE</w:t>
            </w:r>
          </w:p>
        </w:tc>
        <w:tc>
          <w:tcPr>
            <w:tcW w:type="dxa" w:w="2304"/>
            <w:shd w:val="clear" w:color="auto" w:fill="FFFFFF"/>
            <w:tcMar>
              <w:top w:w="50" w:type="dxa"/>
              <w:bottom w:w="50" w:type="dxa"/>
              <w:left w:w="70" w:type="dxa"/>
              <w:right w:w="70" w:type="dxa"/>
            </w:tcMar>
          </w:tcPr>
          <w:p>
            <w:pPr>
              <w:jc w:val="center"/>
            </w:pPr>
            <w:r>
              <w:rPr>
                <w:sz w:val="17"/>
              </w:rPr>
              <w:t>Corpus (L * m)</w:t>
            </w:r>
          </w:p>
        </w:tc>
        <w:tc>
          <w:tcPr>
            <w:tcW w:type="dxa" w:w="1584"/>
            <w:shd w:val="clear" w:color="auto" w:fill="FFFFFF"/>
            <w:tcMar>
              <w:top w:w="50" w:type="dxa"/>
              <w:bottom w:w="50" w:type="dxa"/>
              <w:left w:w="70" w:type="dxa"/>
              <w:right w:w="70" w:type="dxa"/>
            </w:tcMar>
          </w:tcPr>
          <w:p>
            <w:pPr>
              <w:jc w:val="center"/>
            </w:pPr>
            <w:r>
              <w:rPr>
                <w:sz w:val="17"/>
              </w:rPr>
              <w:t>O(L * m)*</w:t>
            </w:r>
          </w:p>
        </w:tc>
      </w:tr>
      <w:tr>
        <w:tc>
          <w:tcPr>
            <w:tcW w:type="dxa" w:w="2592"/>
            <w:shd w:val="clear" w:color="auto" w:fill="EFF6FF"/>
            <w:tcMar>
              <w:top w:w="50" w:type="dxa"/>
              <w:bottom w:w="50" w:type="dxa"/>
              <w:left w:w="70" w:type="dxa"/>
              <w:right w:w="70" w:type="dxa"/>
            </w:tcMar>
          </w:tcPr>
          <w:p>
            <w:pPr>
              <w:jc w:val="center"/>
            </w:pPr>
            <w:r>
              <w:rPr>
                <w:b/>
                <w:color w:val="1D4ED8"/>
                <w:sz w:val="17"/>
              </w:rPr>
              <w:t>BAMKS-D (This Work)</w:t>
            </w:r>
          </w:p>
        </w:tc>
        <w:tc>
          <w:tcPr>
            <w:tcW w:type="dxa" w:w="1584"/>
            <w:shd w:val="clear" w:color="auto" w:fill="EFF6FF"/>
            <w:tcMar>
              <w:top w:w="50" w:type="dxa"/>
              <w:bottom w:w="50" w:type="dxa"/>
              <w:left w:w="70" w:type="dxa"/>
              <w:right w:w="70" w:type="dxa"/>
            </w:tcMar>
          </w:tcPr>
          <w:p>
            <w:pPr>
              <w:jc w:val="center"/>
            </w:pPr>
            <w:r>
              <w:rPr>
                <w:b/>
                <w:color w:val="1D4ED8"/>
                <w:sz w:val="17"/>
              </w:rPr>
              <w:t>Conjunctive</w:t>
            </w:r>
          </w:p>
        </w:tc>
        <w:tc>
          <w:tcPr>
            <w:tcW w:type="dxa" w:w="2304"/>
            <w:shd w:val="clear" w:color="auto" w:fill="EFF6FF"/>
            <w:tcMar>
              <w:top w:w="50" w:type="dxa"/>
              <w:bottom w:w="50" w:type="dxa"/>
              <w:left w:w="70" w:type="dxa"/>
              <w:right w:w="70" w:type="dxa"/>
            </w:tcMar>
          </w:tcPr>
          <w:p>
            <w:pPr>
              <w:jc w:val="center"/>
            </w:pPr>
            <w:r>
              <w:rPr>
                <w:b/>
                <w:color w:val="1D4ED8"/>
                <w:sz w:val="17"/>
              </w:rPr>
              <w:t>Multi-Auth CP-ABE</w:t>
            </w:r>
          </w:p>
        </w:tc>
        <w:tc>
          <w:tcPr>
            <w:tcW w:type="dxa" w:w="2304"/>
            <w:shd w:val="clear" w:color="auto" w:fill="EFF6FF"/>
            <w:tcMar>
              <w:top w:w="50" w:type="dxa"/>
              <w:bottom w:w="50" w:type="dxa"/>
              <w:left w:w="70" w:type="dxa"/>
              <w:right w:w="70" w:type="dxa"/>
            </w:tcMar>
          </w:tcPr>
          <w:p>
            <w:pPr>
              <w:jc w:val="center"/>
            </w:pPr>
            <w:r>
              <w:rPr>
                <w:b/>
                <w:color w:val="1D4ED8"/>
                <w:sz w:val="17"/>
              </w:rPr>
              <w:t>Single-Doc (m)</w:t>
            </w:r>
          </w:p>
        </w:tc>
        <w:tc>
          <w:tcPr>
            <w:tcW w:type="dxa" w:w="1584"/>
            <w:shd w:val="clear" w:color="auto" w:fill="EFF6FF"/>
            <w:tcMar>
              <w:top w:w="50" w:type="dxa"/>
              <w:bottom w:w="50" w:type="dxa"/>
              <w:left w:w="70" w:type="dxa"/>
              <w:right w:w="70" w:type="dxa"/>
            </w:tcMar>
          </w:tcPr>
          <w:p>
            <w:pPr>
              <w:jc w:val="center"/>
            </w:pPr>
            <w:r>
              <w:rPr>
                <w:b/>
                <w:color w:val="1D4ED8"/>
                <w:sz w:val="17"/>
              </w:rPr>
              <w:t>Strict O(1)</w:t>
            </w:r>
          </w:p>
        </w:tc>
      </w:tr>
    </w:tbl>
    <w:p>
      <w:pPr>
        <w:spacing w:before="40" w:after="120"/>
      </w:pPr>
      <w:r>
        <w:rPr>
          <w:i/>
          <w:sz w:val="16"/>
        </w:rPr>
        <w:t>* Cheng et al. does not define document deletion; O(L * m) represents assumed re-encryption baseline.</w:t>
      </w:r>
    </w:p>
    <w:p>
      <w:pPr>
        <w:keepNext/>
        <w:spacing w:before="280" w:after="80"/>
      </w:pPr>
      <w:r>
        <w:rPr>
          <w:rFonts w:ascii="Times New Roman" w:hAnsi="Times New Roman"/>
          <w:b/>
          <w:color w:val="0F172A"/>
          <w:sz w:val="24"/>
        </w:rPr>
        <w:t>III. PRELIMINARIES &amp; SYSTEM MODEL</w:t>
      </w:r>
    </w:p>
    <w:p>
      <w:pPr>
        <w:keepNext/>
        <w:spacing w:before="160" w:after="40"/>
      </w:pPr>
      <w:r>
        <w:rPr>
          <w:rFonts w:ascii="Times New Roman" w:hAnsi="Times New Roman"/>
          <w:b/>
          <w:i/>
          <w:color w:val="1E293B"/>
          <w:sz w:val="21"/>
        </w:rPr>
        <w:t>A. Prototype Algebraic Setting</w:t>
      </w:r>
    </w:p>
    <w:p>
      <w:pPr>
        <w:spacing w:before="0" w:after="80" w:line="276" w:lineRule="auto"/>
        <w:jc w:val="both"/>
      </w:pPr>
      <w:r>
        <w:rPr>
          <w:rFonts w:ascii="Times New Roman" w:hAnsi="Times New Roman"/>
          <w:sz w:val="20"/>
        </w:rPr>
        <w:t>In our software prototype, algebraic computations are evaluated in the multiplicative group (Z_P*, *) using the 256-bit prime P = 2^256 - 2^32 - 977 (the secp256k1 field prime), with generator g = 2. We explicitly note that Z_P* has composite order P-1 and does not support bilinear pairings; pairings e(g_1, g_2) are evaluated via modular exponentiation for prototype simulation. Cryptographic hash functions include H_1: {0,1}* -&gt; Z_P* and H_2: {0,1}* -&gt; {0,1}^256 (SHA-256).</w:t>
      </w:r>
    </w:p>
    <w:p>
      <w:pPr>
        <w:keepNext/>
        <w:spacing w:before="160" w:after="40"/>
      </w:pPr>
      <w:r>
        <w:rPr>
          <w:rFonts w:ascii="Times New Roman" w:hAnsi="Times New Roman"/>
          <w:b/>
          <w:i/>
          <w:color w:val="1E293B"/>
          <w:sz w:val="21"/>
        </w:rPr>
        <w:t>B. Entities and Threat Model</w:t>
      </w:r>
    </w:p>
    <w:p>
      <w:pPr>
        <w:spacing w:before="0" w:after="80" w:line="276" w:lineRule="auto"/>
        <w:jc w:val="both"/>
      </w:pPr>
      <w:r>
        <w:rPr>
          <w:rFonts w:ascii="Times New Roman" w:hAnsi="Times New Roman"/>
          <w:sz w:val="20"/>
        </w:rPr>
        <w:t>BAMKS-D operates across seven entities: (1) Key Generation Center (KGC) initializing global parameters, (2) Attribute Authorities (AA) managing disjoint clinical attribute universes, (3) Data Owners (DO) encrypting EHRs and pinning payloads to IPFS, (4) Data Users (DU) submitting trapdoors, (5) Cloud Service Provider (CSP) indexing tokens and matching queries, (6) Ethereum Sepolia Smart Contract maintaining revocation state, and (7) IPFS decentralized content-addressed storage.</w:t>
      </w:r>
    </w:p>
    <w:p>
      <w:pPr>
        <w:spacing w:before="0" w:after="80" w:line="276" w:lineRule="auto"/>
        <w:jc w:val="both"/>
      </w:pPr>
      <w:r>
        <w:rPr>
          <w:rFonts w:ascii="Times New Roman" w:hAnsi="Times New Roman"/>
          <w:sz w:val="20"/>
        </w:rPr>
        <w:t>The CSP is modeled as honest-but-curious: it executes search algorithms correctly but attempts to correlate queries and infer keyword patterns. Data Users may attempt attribute collusion. The blockchain provides a tamper-proof state execution layer.</w:t>
      </w:r>
    </w:p>
    <w:p>
      <w:pPr>
        <w:jc w:val="center"/>
      </w:pPr>
    </w:p>
    <w:p>
      <w:r>
        <w:drawing>
          <wp:inline xmlns:a="http://schemas.openxmlformats.org/drawingml/2006/main" xmlns:pic="http://schemas.openxmlformats.org/drawingml/2006/picture">
            <wp:extent cx="5486400" cy="29718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486400" cy="2971800"/>
                    </a:xfrm>
                    <a:prstGeom prst="rect"/>
                  </pic:spPr>
                </pic:pic>
              </a:graphicData>
            </a:graphic>
          </wp:inline>
        </w:drawing>
      </w:r>
    </w:p>
    <w:p>
      <w:pPr>
        <w:jc w:val="center"/>
      </w:pPr>
      <w:r>
        <w:rPr>
          <w:b/>
          <w:sz w:val="18"/>
        </w:rPr>
        <w:t>Fig. 1. Decoupled BAMKS-D Architecture Topology and Operational Flow.</w:t>
      </w:r>
    </w:p>
    <w:p>
      <w:pPr>
        <w:keepNext/>
        <w:spacing w:before="280" w:after="80"/>
      </w:pPr>
      <w:r>
        <w:rPr>
          <w:rFonts w:ascii="Times New Roman" w:hAnsi="Times New Roman"/>
          <w:b/>
          <w:color w:val="0F172A"/>
          <w:sz w:val="24"/>
        </w:rPr>
        <w:t>IV. THE PROPOSED BAMKS-D PROTOCOL</w:t>
      </w:r>
    </w:p>
    <w:p>
      <w:pPr>
        <w:keepNext/>
        <w:spacing w:before="160" w:after="40"/>
      </w:pPr>
      <w:r>
        <w:rPr>
          <w:rFonts w:ascii="Times New Roman" w:hAnsi="Times New Roman"/>
          <w:b/>
          <w:i/>
          <w:color w:val="1E293B"/>
          <w:sz w:val="21"/>
        </w:rPr>
        <w:t>A. Key Generation with Session Randomness</w:t>
      </w:r>
    </w:p>
    <w:p>
      <w:pPr>
        <w:spacing w:before="0" w:after="80" w:line="276" w:lineRule="auto"/>
        <w:jc w:val="both"/>
      </w:pPr>
      <w:r>
        <w:rPr>
          <w:rFonts w:ascii="Times New Roman" w:hAnsi="Times New Roman"/>
          <w:sz w:val="20"/>
        </w:rPr>
        <w:t>To prevent key correlation across distinct issuances, each KeyGen invocation samples fresh per-generation session randomness t in Z_{P-1}*:</w:t>
        <w:br/>
        <w:t>K_1 = H_1(uid)^{-t mod (P-1)} mod P</w:t>
        <w:br/>
        <w:t>K_{2,i} = (H_1(uid)^{t * beta_i} * dpk_ver^{alpha_i}) mod P</w:t>
      </w:r>
    </w:p>
    <w:p>
      <w:pPr>
        <w:keepNext/>
        <w:spacing w:before="160" w:after="40"/>
      </w:pPr>
      <w:r>
        <w:rPr>
          <w:rFonts w:ascii="Times New Roman" w:hAnsi="Times New Roman"/>
          <w:b/>
          <w:i/>
          <w:color w:val="1E293B"/>
          <w:sz w:val="21"/>
        </w:rPr>
        <w:t>B. Atomic Single-Document Addition</w:t>
      </w:r>
    </w:p>
    <w:p>
      <w:pPr>
        <w:spacing w:before="0" w:after="80" w:line="276" w:lineRule="auto"/>
        <w:jc w:val="both"/>
      </w:pPr>
      <w:r>
        <w:rPr>
          <w:rFonts w:ascii="Times New Roman" w:hAnsi="Times New Roman"/>
          <w:sz w:val="20"/>
        </w:rPr>
        <w:t>When an EHR document docId with m keywords W_doc = {w_1, ..., w_m} is created, the owner generates an AES key via KDF(Phi, verId), encrypts the file payload with AES-256-GCM, uploads the ciphertext to IPFS, and computes keyword tokens only for W_doc:</w:t>
        <w:br/>
        <w:t>I_{doc,j} = g^{(eta * H_1(w_j)) mod (P-1)} mod P</w:t>
        <w:br/>
        <w:t>The CSP appends Index_{doc} to the global inverted index without modifying any existing document tokens, achieving strict O(m) complexity.</w:t>
      </w: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1: SingleDocAdd(docId, F, W_doc, Phi, verId): </w:t>
            </w:r>
            <w:r>
              <w:rPr>
                <w:rFonts w:ascii="Times New Roman" w:hAnsi="Times New Roman"/>
                <w:color w:val="334155"/>
                <w:sz w:val="19"/>
              </w:rPr>
              <w:t>Input: docId, payload F, keyword set W_doc, Phi, verId.</w:t>
              <w:br/>
              <w:t>1. K = KDF(Phi, verId); C_data = AES-GCM-Enc(K, F)</w:t>
              <w:br/>
              <w:t>2. CID = IPFS.upload(C_data); y_k = g^{sigma_k} mod P</w:t>
              <w:br/>
              <w:t>3. For each w_j in W_doc:</w:t>
              <w:br/>
              <w:t xml:space="preserve">     I_{doc,j} = g^{(eta * H_1(w_j)) mod (P-1)} mod P</w:t>
              <w:br/>
              <w:t xml:space="preserve">     Key_j = H_2('tok_' || I_{doc,j}); Index_{doc}[Key_j] = I_{doc,j}</w:t>
              <w:br/>
              <w:t>4. Sepolia.registerDocument(docId, H_2(C_data), y_k)</w:t>
              <w:br/>
              <w:t>Output: (CID, Index_{doc}, y_k) [Strict O(m) complexity]</w:t>
            </w:r>
          </w:p>
        </w:tc>
      </w:tr>
    </w:tbl>
    <w:p>
      <w:pPr>
        <w:spacing w:before="0" w:after="80"/>
      </w:pP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2: SingleDocDelete(docId) [On-Chain EVM Execution]: </w:t>
            </w:r>
            <w:r>
              <w:rPr>
                <w:rFonts w:ascii="Times New Roman" w:hAnsi="Times New Roman"/>
                <w:color w:val="334155"/>
                <w:sz w:val="19"/>
              </w:rPr>
              <w:t>Input: docId, msg.sender.</w:t>
              <w:br/>
              <w:t>1. require(fileRegistry[docId].ownerAddress == msg.sender || msg.sender == owner)</w:t>
              <w:br/>
              <w:t>2. require(fileRegistry[docId].docId != 0)</w:t>
              <w:br/>
              <w:t>3. require(!deletedDocRegistry[docId])</w:t>
              <w:br/>
              <w:t>4. deletedDocRegistry[docId] = true</w:t>
              <w:br/>
              <w:t>5. emit DocumentDeleted(docId, msg.sender, block.timestamp)</w:t>
              <w:br/>
              <w:t>Output: true [Execution: Strict O(1) EVM mapping storage]</w:t>
            </w:r>
          </w:p>
        </w:tc>
      </w:tr>
    </w:tbl>
    <w:p>
      <w:pPr>
        <w:spacing w:before="0" w:after="80"/>
      </w:pP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3: ConjunctiveSearch(Trap, Index, deletedRegistry): </w:t>
            </w:r>
            <w:r>
              <w:rPr>
                <w:rFonts w:ascii="Times New Roman" w:hAnsi="Times New Roman"/>
                <w:color w:val="334155"/>
                <w:sz w:val="19"/>
              </w:rPr>
              <w:t>Input: Trap=(T_1, T_3, phi), Cloud Index, on-chain deletion registry.</w:t>
              <w:br/>
              <w:t>1. Initialize SRL = empty</w:t>
              <w:br/>
              <w:t>2. For each docId in Index:</w:t>
              <w:br/>
              <w:t xml:space="preserve">     If deletedRegistry[docId] == true: continue (Skip revoked in O(1))</w:t>
              <w:br/>
              <w:t xml:space="preserve">     If all query tokens match in docId:</w:t>
              <w:br/>
              <w:t xml:space="preserve">         I_prod = prod(matching I_{doc,j}) mod P</w:t>
              <w:br/>
              <w:t xml:space="preserve">         If (I_prod)^phi == (T_3)^eta mod P: SRL = SRL union {docId}</w:t>
              <w:br/>
              <w:t>Output: SRL (Search Result List of active matching records)</w:t>
            </w:r>
          </w:p>
        </w:tc>
      </w:tr>
    </w:tbl>
    <w:p>
      <w:pPr>
        <w:spacing w:before="0" w:after="80"/>
      </w:pP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4: AggregatedSchnorrNIZKVerify(SRL, {y_k*}, pi_hat, R): </w:t>
            </w:r>
            <w:r>
              <w:rPr>
                <w:rFonts w:ascii="Times New Roman" w:hAnsi="Times New Roman"/>
                <w:color w:val="334155"/>
                <w:sz w:val="19"/>
              </w:rPr>
              <w:t>Input: Result list SRL, public tags {y_k*}, aggregated proof pi_hat, commitment R.</w:t>
              <w:br/>
              <w:t>1. RHS = g^{pi_hat} mod P</w:t>
              <w:br/>
              <w:t>2. For each k in SRL: h_k* = H_1(y_k* || R); RHS = RHS * (y_k*)^{-h_k*} mod P</w:t>
              <w:br/>
              <w:t>3. If R == RHS: Accept (Proof Valid); Else: Reject (Proof Tampered)</w:t>
              <w:br/>
              <w:t>NOTE: Verification executed off-chain by client; on-chain RVSC enforces non-revocation membership and binding integrity.</w:t>
            </w:r>
          </w:p>
        </w:tc>
      </w:tr>
    </w:tbl>
    <w:p>
      <w:pPr>
        <w:spacing w:before="0" w:after="80"/>
      </w:pPr>
    </w:p>
    <w:p>
      <w:pPr>
        <w:keepNext/>
        <w:spacing w:before="280" w:after="80"/>
      </w:pPr>
      <w:r>
        <w:rPr>
          <w:rFonts w:ascii="Times New Roman" w:hAnsi="Times New Roman"/>
          <w:b/>
          <w:color w:val="0F172A"/>
          <w:sz w:val="24"/>
        </w:rPr>
        <w:t>V. COMPLEXITY &amp; EVM GAS ANALYSIS</w:t>
      </w:r>
    </w:p>
    <w:p>
      <w:pPr>
        <w:keepNext/>
        <w:spacing w:before="160" w:after="40"/>
      </w:pPr>
      <w:r>
        <w:rPr>
          <w:rFonts w:ascii="Times New Roman" w:hAnsi="Times New Roman"/>
          <w:b/>
          <w:i/>
          <w:color w:val="1E293B"/>
          <w:sz w:val="21"/>
        </w:rPr>
        <w:t>A. Asymptotic Complexity Comparison</w:t>
      </w:r>
    </w:p>
    <w:p>
      <w:pPr>
        <w:spacing w:before="0" w:after="80" w:line="276" w:lineRule="auto"/>
        <w:jc w:val="both"/>
      </w:pPr>
      <w:r>
        <w:rPr>
          <w:rFonts w:ascii="Times New Roman" w:hAnsi="Times New Roman"/>
          <w:sz w:val="20"/>
        </w:rPr>
        <w:t>Table II compares the asymptotic complexity of BAMKS-D against naive re-encryption and Cheng et al. [1]. While Cheng et al. Section 5.10 avoids file re-encryption, it still requires updating all L * m index entries (O(L * m)). BAMKS-D operates in strict O(m) time for additions and O(1) for deletions.</w:t>
      </w:r>
    </w:p>
    <w:p>
      <w:pPr>
        <w:spacing w:before="120" w:after="40"/>
        <w:jc w:val="center"/>
      </w:pPr>
      <w:r>
        <w:rPr>
          <w:b/>
          <w:sz w:val="19"/>
        </w:rPr>
        <w:t>TABLE II: ASYMPTOTIC COMPUTATIONAL COMPLEXITY COMPARISON</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92"/>
            <w:shd w:val="clear" w:color="auto" w:fill="1E293B"/>
            <w:tcMar>
              <w:top w:w="60" w:type="dxa"/>
              <w:bottom w:w="60" w:type="dxa"/>
              <w:left w:w="80" w:type="dxa"/>
              <w:right w:w="80" w:type="dxa"/>
            </w:tcMar>
          </w:tcPr>
          <w:p>
            <w:pPr>
              <w:jc w:val="center"/>
            </w:pPr>
            <w:r>
              <w:rPr>
                <w:b/>
                <w:color w:val="FFFFFF"/>
                <w:sz w:val="17"/>
              </w:rPr>
              <w:t>Operational Phase</w:t>
            </w:r>
          </w:p>
        </w:tc>
        <w:tc>
          <w:tcPr>
            <w:tcW w:type="dxa" w:w="2592"/>
            <w:shd w:val="clear" w:color="auto" w:fill="1E293B"/>
            <w:tcMar>
              <w:top w:w="60" w:type="dxa"/>
              <w:bottom w:w="60" w:type="dxa"/>
              <w:left w:w="80" w:type="dxa"/>
              <w:right w:w="80" w:type="dxa"/>
            </w:tcMar>
          </w:tcPr>
          <w:p>
            <w:pPr>
              <w:jc w:val="center"/>
            </w:pPr>
            <w:r>
              <w:rPr>
                <w:b/>
                <w:color w:val="FFFFFF"/>
                <w:sz w:val="17"/>
              </w:rPr>
              <w:t>Naive Baseline</w:t>
            </w:r>
          </w:p>
        </w:tc>
        <w:tc>
          <w:tcPr>
            <w:tcW w:type="dxa" w:w="2592"/>
            <w:shd w:val="clear" w:color="auto" w:fill="1E293B"/>
            <w:tcMar>
              <w:top w:w="60" w:type="dxa"/>
              <w:bottom w:w="60" w:type="dxa"/>
              <w:left w:w="80" w:type="dxa"/>
              <w:right w:w="80" w:type="dxa"/>
            </w:tcMar>
          </w:tcPr>
          <w:p>
            <w:pPr>
              <w:jc w:val="center"/>
            </w:pPr>
            <w:r>
              <w:rPr>
                <w:b/>
                <w:color w:val="FFFFFF"/>
                <w:sz w:val="17"/>
              </w:rPr>
              <w:t>Cheng et al. [1]</w:t>
            </w:r>
          </w:p>
        </w:tc>
        <w:tc>
          <w:tcPr>
            <w:tcW w:type="dxa" w:w="2304"/>
            <w:shd w:val="clear" w:color="auto" w:fill="1E293B"/>
            <w:tcMar>
              <w:top w:w="60" w:type="dxa"/>
              <w:bottom w:w="60" w:type="dxa"/>
              <w:left w:w="80" w:type="dxa"/>
              <w:right w:w="80" w:type="dxa"/>
            </w:tcMar>
          </w:tcPr>
          <w:p>
            <w:pPr>
              <w:jc w:val="center"/>
            </w:pPr>
            <w:r>
              <w:rPr>
                <w:b/>
                <w:color w:val="FFFFFF"/>
                <w:sz w:val="17"/>
              </w:rPr>
              <w:t>BAMKS-D (Proposed)</w:t>
            </w:r>
          </w:p>
        </w:tc>
      </w:tr>
      <w:tr>
        <w:tc>
          <w:tcPr>
            <w:tcW w:type="dxa" w:w="2592"/>
            <w:shd w:val="clear" w:color="auto" w:fill="EFF6FF"/>
            <w:tcMar>
              <w:top w:w="50" w:type="dxa"/>
              <w:bottom w:w="50" w:type="dxa"/>
              <w:left w:w="70" w:type="dxa"/>
              <w:right w:w="70" w:type="dxa"/>
            </w:tcMar>
          </w:tcPr>
          <w:p>
            <w:pPr>
              <w:jc w:val="left"/>
            </w:pPr>
            <w:r>
              <w:rPr>
                <w:sz w:val="17"/>
              </w:rPr>
              <w:t>SingleDocAdd</w:t>
            </w:r>
          </w:p>
        </w:tc>
        <w:tc>
          <w:tcPr>
            <w:tcW w:type="dxa" w:w="2592"/>
            <w:shd w:val="clear" w:color="auto" w:fill="EFF6FF"/>
            <w:tcMar>
              <w:top w:w="50" w:type="dxa"/>
              <w:bottom w:w="50" w:type="dxa"/>
              <w:left w:w="70" w:type="dxa"/>
              <w:right w:w="70" w:type="dxa"/>
            </w:tcMar>
          </w:tcPr>
          <w:p>
            <w:pPr>
              <w:jc w:val="center"/>
            </w:pPr>
            <w:r>
              <w:rPr>
                <w:sz w:val="17"/>
              </w:rPr>
              <w:t>O(L * m) Re-enc</w:t>
            </w:r>
          </w:p>
        </w:tc>
        <w:tc>
          <w:tcPr>
            <w:tcW w:type="dxa" w:w="2592"/>
            <w:shd w:val="clear" w:color="auto" w:fill="EFF6FF"/>
            <w:tcMar>
              <w:top w:w="50" w:type="dxa"/>
              <w:bottom w:w="50" w:type="dxa"/>
              <w:left w:w="70" w:type="dxa"/>
              <w:right w:w="70" w:type="dxa"/>
            </w:tcMar>
          </w:tcPr>
          <w:p>
            <w:pPr>
              <w:jc w:val="center"/>
            </w:pPr>
            <w:r>
              <w:rPr>
                <w:sz w:val="17"/>
              </w:rPr>
              <w:t>O(L * m) Idx Mult</w:t>
            </w:r>
          </w:p>
        </w:tc>
        <w:tc>
          <w:tcPr>
            <w:tcW w:type="dxa" w:w="2304"/>
            <w:shd w:val="clear" w:color="auto" w:fill="EFF6FF"/>
            <w:tcMar>
              <w:top w:w="50" w:type="dxa"/>
              <w:bottom w:w="50" w:type="dxa"/>
              <w:left w:w="70" w:type="dxa"/>
              <w:right w:w="70" w:type="dxa"/>
            </w:tcMar>
          </w:tcPr>
          <w:p>
            <w:pPr>
              <w:jc w:val="center"/>
            </w:pPr>
            <w:r>
              <w:rPr>
                <w:b/>
                <w:color w:val="1D4ED8"/>
                <w:sz w:val="17"/>
              </w:rPr>
              <w:t>Strict O(m) Flat</w:t>
            </w:r>
          </w:p>
        </w:tc>
      </w:tr>
      <w:tr>
        <w:tc>
          <w:tcPr>
            <w:tcW w:type="dxa" w:w="2592"/>
            <w:shd w:val="clear" w:color="auto" w:fill="EFF6FF"/>
            <w:tcMar>
              <w:top w:w="50" w:type="dxa"/>
              <w:bottom w:w="50" w:type="dxa"/>
              <w:left w:w="70" w:type="dxa"/>
              <w:right w:w="70" w:type="dxa"/>
            </w:tcMar>
          </w:tcPr>
          <w:p>
            <w:pPr>
              <w:jc w:val="left"/>
            </w:pPr>
            <w:r>
              <w:rPr>
                <w:sz w:val="17"/>
              </w:rPr>
              <w:t>SingleDocDelete</w:t>
            </w:r>
          </w:p>
        </w:tc>
        <w:tc>
          <w:tcPr>
            <w:tcW w:type="dxa" w:w="2592"/>
            <w:shd w:val="clear" w:color="auto" w:fill="EFF6FF"/>
            <w:tcMar>
              <w:top w:w="50" w:type="dxa"/>
              <w:bottom w:w="50" w:type="dxa"/>
              <w:left w:w="70" w:type="dxa"/>
              <w:right w:w="70" w:type="dxa"/>
            </w:tcMar>
          </w:tcPr>
          <w:p>
            <w:pPr>
              <w:jc w:val="center"/>
            </w:pPr>
            <w:r>
              <w:rPr>
                <w:sz w:val="17"/>
              </w:rPr>
              <w:t>O(L * m) Re-enc</w:t>
            </w:r>
          </w:p>
        </w:tc>
        <w:tc>
          <w:tcPr>
            <w:tcW w:type="dxa" w:w="2592"/>
            <w:shd w:val="clear" w:color="auto" w:fill="EFF6FF"/>
            <w:tcMar>
              <w:top w:w="50" w:type="dxa"/>
              <w:bottom w:w="50" w:type="dxa"/>
              <w:left w:w="70" w:type="dxa"/>
              <w:right w:w="70" w:type="dxa"/>
            </w:tcMar>
          </w:tcPr>
          <w:p>
            <w:pPr>
              <w:jc w:val="center"/>
            </w:pPr>
            <w:r>
              <w:rPr>
                <w:sz w:val="17"/>
              </w:rPr>
              <w:t>O(L * m) Assumed*</w:t>
            </w:r>
          </w:p>
        </w:tc>
        <w:tc>
          <w:tcPr>
            <w:tcW w:type="dxa" w:w="2304"/>
            <w:shd w:val="clear" w:color="auto" w:fill="EFF6FF"/>
            <w:tcMar>
              <w:top w:w="50" w:type="dxa"/>
              <w:bottom w:w="50" w:type="dxa"/>
              <w:left w:w="70" w:type="dxa"/>
              <w:right w:w="70" w:type="dxa"/>
            </w:tcMar>
          </w:tcPr>
          <w:p>
            <w:pPr>
              <w:jc w:val="center"/>
            </w:pPr>
            <w:r>
              <w:rPr>
                <w:b/>
                <w:color w:val="1D4ED8"/>
                <w:sz w:val="17"/>
              </w:rPr>
              <w:t>Strict O(1) Constant Gas</w:t>
            </w:r>
          </w:p>
        </w:tc>
      </w:tr>
      <w:tr>
        <w:tc>
          <w:tcPr>
            <w:tcW w:type="dxa" w:w="2592"/>
            <w:shd w:val="clear" w:color="auto" w:fill="F8FAFC"/>
            <w:tcMar>
              <w:top w:w="50" w:type="dxa"/>
              <w:bottom w:w="50" w:type="dxa"/>
              <w:left w:w="70" w:type="dxa"/>
              <w:right w:w="70" w:type="dxa"/>
            </w:tcMar>
          </w:tcPr>
          <w:p>
            <w:pPr>
              <w:jc w:val="left"/>
            </w:pPr>
            <w:r>
              <w:rPr>
                <w:sz w:val="17"/>
              </w:rPr>
              <w:t>Search Matching</w:t>
            </w:r>
          </w:p>
        </w:tc>
        <w:tc>
          <w:tcPr>
            <w:tcW w:type="dxa" w:w="2592"/>
            <w:shd w:val="clear" w:color="auto" w:fill="F8FAFC"/>
            <w:tcMar>
              <w:top w:w="50" w:type="dxa"/>
              <w:bottom w:w="50" w:type="dxa"/>
              <w:left w:w="70" w:type="dxa"/>
              <w:right w:w="70" w:type="dxa"/>
            </w:tcMar>
          </w:tcPr>
          <w:p>
            <w:pPr>
              <w:jc w:val="center"/>
            </w:pPr>
            <w:r>
              <w:rPr>
                <w:sz w:val="17"/>
              </w:rPr>
              <w:t>O(L * q)</w:t>
            </w:r>
          </w:p>
        </w:tc>
        <w:tc>
          <w:tcPr>
            <w:tcW w:type="dxa" w:w="2592"/>
            <w:shd w:val="clear" w:color="auto" w:fill="F8FAFC"/>
            <w:tcMar>
              <w:top w:w="50" w:type="dxa"/>
              <w:bottom w:w="50" w:type="dxa"/>
              <w:left w:w="70" w:type="dxa"/>
              <w:right w:w="70" w:type="dxa"/>
            </w:tcMar>
          </w:tcPr>
          <w:p>
            <w:pPr>
              <w:jc w:val="center"/>
            </w:pPr>
            <w:r>
              <w:rPr>
                <w:sz w:val="17"/>
              </w:rPr>
              <w:t>O(L * q)</w:t>
            </w:r>
          </w:p>
        </w:tc>
        <w:tc>
          <w:tcPr>
            <w:tcW w:type="dxa" w:w="2304"/>
            <w:shd w:val="clear" w:color="auto" w:fill="F8FAFC"/>
            <w:tcMar>
              <w:top w:w="50" w:type="dxa"/>
              <w:bottom w:w="50" w:type="dxa"/>
              <w:left w:w="70" w:type="dxa"/>
              <w:right w:w="70" w:type="dxa"/>
            </w:tcMar>
          </w:tcPr>
          <w:p>
            <w:pPr>
              <w:jc w:val="center"/>
            </w:pPr>
            <w:r>
              <w:rPr>
                <w:sz w:val="17"/>
              </w:rPr>
              <w:t>O(L * q)</w:t>
            </w:r>
          </w:p>
        </w:tc>
      </w:tr>
    </w:tbl>
    <w:p>
      <w:pPr>
        <w:spacing w:before="40" w:after="120"/>
      </w:pPr>
      <w:r>
        <w:rPr>
          <w:i/>
          <w:sz w:val="16"/>
        </w:rPr>
        <w:t>* Cheng et al. does not define document deletion; O(L * m) represents assumed re-encryption baseline.</w:t>
      </w:r>
    </w:p>
    <w:p>
      <w:pPr>
        <w:keepNext/>
        <w:spacing w:before="160" w:after="40"/>
      </w:pPr>
      <w:r>
        <w:rPr>
          <w:rFonts w:ascii="Times New Roman" w:hAnsi="Times New Roman"/>
          <w:b/>
          <w:i/>
          <w:color w:val="1E293B"/>
          <w:sz w:val="21"/>
        </w:rPr>
        <w:t>B. EVM Opcode Gas Schedule and Live Sepolia Receipts</w:t>
      </w:r>
    </w:p>
    <w:p>
      <w:pPr>
        <w:spacing w:before="0" w:after="80" w:line="276" w:lineRule="auto"/>
        <w:jc w:val="both"/>
      </w:pPr>
      <w:r>
        <w:rPr>
          <w:rFonts w:ascii="Times New Roman" w:hAnsi="Times New Roman"/>
          <w:sz w:val="20"/>
        </w:rPr>
        <w:t>In Solidity, mapping lookups calculate storage addresses directly via keccak256(abi.encode(docId, slotNumber)). Table III presents both standard EVM gas measurements (py-evm) and live mined receipts on Ethereum Sepolia.</w:t>
      </w:r>
    </w:p>
    <w:p>
      <w:pPr>
        <w:spacing w:before="120" w:after="40"/>
        <w:jc w:val="center"/>
      </w:pPr>
      <w:r>
        <w:rPr>
          <w:b/>
          <w:sz w:val="19"/>
        </w:rPr>
        <w:t>TABLE III: SMART CONTRACT GAS METRICS &amp; SEPOLIA RECEIPTS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3168"/>
            <w:shd w:val="clear" w:color="auto" w:fill="1E293B"/>
            <w:tcMar>
              <w:top w:w="60" w:type="dxa"/>
              <w:bottom w:w="60" w:type="dxa"/>
              <w:left w:w="80" w:type="dxa"/>
              <w:right w:w="80" w:type="dxa"/>
            </w:tcMar>
          </w:tcPr>
          <w:p>
            <w:pPr>
              <w:jc w:val="center"/>
            </w:pPr>
            <w:r>
              <w:rPr>
                <w:b/>
                <w:color w:val="FFFFFF"/>
                <w:sz w:val="17"/>
              </w:rPr>
              <w:t>Function / Metric</w:t>
            </w:r>
          </w:p>
        </w:tc>
        <w:tc>
          <w:tcPr>
            <w:tcW w:type="dxa" w:w="2592"/>
            <w:shd w:val="clear" w:color="auto" w:fill="1E293B"/>
            <w:tcMar>
              <w:top w:w="60" w:type="dxa"/>
              <w:bottom w:w="60" w:type="dxa"/>
              <w:left w:w="80" w:type="dxa"/>
              <w:right w:w="80" w:type="dxa"/>
            </w:tcMar>
          </w:tcPr>
          <w:p>
            <w:pPr>
              <w:jc w:val="center"/>
            </w:pPr>
            <w:r>
              <w:rPr>
                <w:b/>
                <w:color w:val="FFFFFF"/>
                <w:sz w:val="17"/>
              </w:rPr>
              <w:t>Standard EVM Gas</w:t>
            </w:r>
          </w:p>
        </w:tc>
        <w:tc>
          <w:tcPr>
            <w:tcW w:type="dxa" w:w="2592"/>
            <w:shd w:val="clear" w:color="auto" w:fill="1E293B"/>
            <w:tcMar>
              <w:top w:w="60" w:type="dxa"/>
              <w:bottom w:w="60" w:type="dxa"/>
              <w:left w:w="80" w:type="dxa"/>
              <w:right w:w="80" w:type="dxa"/>
            </w:tcMar>
          </w:tcPr>
          <w:p>
            <w:pPr>
              <w:jc w:val="center"/>
            </w:pPr>
            <w:r>
              <w:rPr>
                <w:b/>
                <w:color w:val="FFFFFF"/>
                <w:sz w:val="17"/>
              </w:rPr>
              <w:t>Sepolia Receipt Gas</w:t>
            </w:r>
          </w:p>
        </w:tc>
        <w:tc>
          <w:tcPr>
            <w:tcW w:type="dxa" w:w="2016"/>
            <w:shd w:val="clear" w:color="auto" w:fill="1E293B"/>
            <w:tcMar>
              <w:top w:w="60" w:type="dxa"/>
              <w:bottom w:w="60" w:type="dxa"/>
              <w:left w:w="80" w:type="dxa"/>
              <w:right w:w="80" w:type="dxa"/>
            </w:tcMar>
          </w:tcPr>
          <w:p>
            <w:pPr>
              <w:jc w:val="center"/>
            </w:pPr>
            <w:r>
              <w:rPr>
                <w:b/>
                <w:color w:val="FFFFFF"/>
                <w:sz w:val="17"/>
              </w:rPr>
              <w:t>Confirmation Time</w:t>
            </w:r>
          </w:p>
        </w:tc>
      </w:tr>
      <w:tr>
        <w:tc>
          <w:tcPr>
            <w:tcW w:type="dxa" w:w="3168"/>
            <w:shd w:val="clear" w:color="auto" w:fill="F8FAFC"/>
            <w:tcMar>
              <w:top w:w="50" w:type="dxa"/>
              <w:bottom w:w="50" w:type="dxa"/>
              <w:left w:w="70" w:type="dxa"/>
              <w:right w:w="70" w:type="dxa"/>
            </w:tcMar>
          </w:tcPr>
          <w:p>
            <w:pPr>
              <w:jc w:val="left"/>
            </w:pPr>
            <w:r>
              <w:rPr>
                <w:sz w:val="17"/>
              </w:rPr>
              <w:t>deployContract</w:t>
            </w:r>
          </w:p>
        </w:tc>
        <w:tc>
          <w:tcPr>
            <w:tcW w:type="dxa" w:w="2592"/>
            <w:shd w:val="clear" w:color="auto" w:fill="F8FAFC"/>
            <w:tcMar>
              <w:top w:w="50" w:type="dxa"/>
              <w:bottom w:w="50" w:type="dxa"/>
              <w:left w:w="70" w:type="dxa"/>
              <w:right w:w="70" w:type="dxa"/>
            </w:tcMar>
          </w:tcPr>
          <w:p>
            <w:pPr>
              <w:jc w:val="center"/>
            </w:pPr>
            <w:r>
              <w:rPr>
                <w:sz w:val="17"/>
              </w:rPr>
              <w:t>555,050 gas</w:t>
            </w:r>
          </w:p>
        </w:tc>
        <w:tc>
          <w:tcPr>
            <w:tcW w:type="dxa" w:w="2592"/>
            <w:shd w:val="clear" w:color="auto" w:fill="F8FAFC"/>
            <w:tcMar>
              <w:top w:w="50" w:type="dxa"/>
              <w:bottom w:w="50" w:type="dxa"/>
              <w:left w:w="70" w:type="dxa"/>
              <w:right w:w="70" w:type="dxa"/>
            </w:tcMar>
          </w:tcPr>
          <w:p>
            <w:pPr>
              <w:jc w:val="center"/>
            </w:pPr>
            <w:r>
              <w:rPr>
                <w:sz w:val="17"/>
              </w:rPr>
              <w:t>3,788,192 gas</w:t>
            </w:r>
          </w:p>
        </w:tc>
        <w:tc>
          <w:tcPr>
            <w:tcW w:type="dxa" w:w="2016"/>
            <w:shd w:val="clear" w:color="auto" w:fill="F8FAFC"/>
            <w:tcMar>
              <w:top w:w="50" w:type="dxa"/>
              <w:bottom w:w="50" w:type="dxa"/>
              <w:left w:w="70" w:type="dxa"/>
              <w:right w:w="70" w:type="dxa"/>
            </w:tcMar>
          </w:tcPr>
          <w:p>
            <w:pPr>
              <w:jc w:val="center"/>
            </w:pPr>
            <w:r>
              <w:rPr>
                <w:sz w:val="17"/>
              </w:rPr>
              <w:t>15.17 s</w:t>
            </w:r>
          </w:p>
        </w:tc>
      </w:tr>
      <w:tr>
        <w:tc>
          <w:tcPr>
            <w:tcW w:type="dxa" w:w="3168"/>
            <w:shd w:val="clear" w:color="auto" w:fill="FFFFFF"/>
            <w:tcMar>
              <w:top w:w="50" w:type="dxa"/>
              <w:bottom w:w="50" w:type="dxa"/>
              <w:left w:w="70" w:type="dxa"/>
              <w:right w:w="70" w:type="dxa"/>
            </w:tcMar>
          </w:tcPr>
          <w:p>
            <w:pPr>
              <w:jc w:val="left"/>
            </w:pPr>
            <w:r>
              <w:rPr>
                <w:sz w:val="17"/>
              </w:rPr>
              <w:t>registerDocument(101)</w:t>
            </w:r>
          </w:p>
        </w:tc>
        <w:tc>
          <w:tcPr>
            <w:tcW w:type="dxa" w:w="2592"/>
            <w:shd w:val="clear" w:color="auto" w:fill="FFFFFF"/>
            <w:tcMar>
              <w:top w:w="50" w:type="dxa"/>
              <w:bottom w:w="50" w:type="dxa"/>
              <w:left w:w="70" w:type="dxa"/>
              <w:right w:w="70" w:type="dxa"/>
            </w:tcMar>
          </w:tcPr>
          <w:p>
            <w:pPr>
              <w:jc w:val="center"/>
            </w:pPr>
            <w:r>
              <w:rPr>
                <w:sz w:val="17"/>
              </w:rPr>
              <w:t>179,505 gas</w:t>
            </w:r>
          </w:p>
        </w:tc>
        <w:tc>
          <w:tcPr>
            <w:tcW w:type="dxa" w:w="2592"/>
            <w:shd w:val="clear" w:color="auto" w:fill="FFFFFF"/>
            <w:tcMar>
              <w:top w:w="50" w:type="dxa"/>
              <w:bottom w:w="50" w:type="dxa"/>
              <w:left w:w="70" w:type="dxa"/>
              <w:right w:w="70" w:type="dxa"/>
            </w:tcMar>
          </w:tcPr>
          <w:p>
            <w:pPr>
              <w:jc w:val="center"/>
            </w:pPr>
            <w:r>
              <w:rPr>
                <w:sz w:val="17"/>
              </w:rPr>
              <w:t>789,245 gas</w:t>
            </w:r>
          </w:p>
        </w:tc>
        <w:tc>
          <w:tcPr>
            <w:tcW w:type="dxa" w:w="2016"/>
            <w:shd w:val="clear" w:color="auto" w:fill="FFFFFF"/>
            <w:tcMar>
              <w:top w:w="50" w:type="dxa"/>
              <w:bottom w:w="50" w:type="dxa"/>
              <w:left w:w="70" w:type="dxa"/>
              <w:right w:w="70" w:type="dxa"/>
            </w:tcMar>
          </w:tcPr>
          <w:p>
            <w:pPr>
              <w:jc w:val="center"/>
            </w:pPr>
            <w:r>
              <w:rPr>
                <w:sz w:val="17"/>
              </w:rPr>
              <w:t>13.71 s</w:t>
            </w:r>
          </w:p>
        </w:tc>
      </w:tr>
      <w:tr>
        <w:tc>
          <w:tcPr>
            <w:tcW w:type="dxa" w:w="3168"/>
            <w:shd w:val="clear" w:color="auto" w:fill="EFF6FF"/>
            <w:tcMar>
              <w:top w:w="50" w:type="dxa"/>
              <w:bottom w:w="50" w:type="dxa"/>
              <w:left w:w="70" w:type="dxa"/>
              <w:right w:w="70" w:type="dxa"/>
            </w:tcMar>
          </w:tcPr>
          <w:p>
            <w:pPr>
              <w:jc w:val="left"/>
            </w:pPr>
            <w:r>
              <w:rPr>
                <w:sz w:val="17"/>
              </w:rPr>
              <w:t>deleteDocument(101)</w:t>
            </w:r>
          </w:p>
        </w:tc>
        <w:tc>
          <w:tcPr>
            <w:tcW w:type="dxa" w:w="2592"/>
            <w:shd w:val="clear" w:color="auto" w:fill="EFF6FF"/>
            <w:tcMar>
              <w:top w:w="50" w:type="dxa"/>
              <w:bottom w:w="50" w:type="dxa"/>
              <w:left w:w="70" w:type="dxa"/>
              <w:right w:w="70" w:type="dxa"/>
            </w:tcMar>
          </w:tcPr>
          <w:p>
            <w:pPr>
              <w:jc w:val="center"/>
            </w:pPr>
            <w:r>
              <w:rPr>
                <w:b/>
                <w:color w:val="1D4ED8"/>
                <w:sz w:val="17"/>
              </w:rPr>
              <w:t>50,111 gas</w:t>
            </w:r>
          </w:p>
        </w:tc>
        <w:tc>
          <w:tcPr>
            <w:tcW w:type="dxa" w:w="2592"/>
            <w:shd w:val="clear" w:color="auto" w:fill="EFF6FF"/>
            <w:tcMar>
              <w:top w:w="50" w:type="dxa"/>
              <w:bottom w:w="50" w:type="dxa"/>
              <w:left w:w="70" w:type="dxa"/>
              <w:right w:w="70" w:type="dxa"/>
            </w:tcMar>
          </w:tcPr>
          <w:p>
            <w:pPr>
              <w:jc w:val="center"/>
            </w:pPr>
            <w:r>
              <w:rPr>
                <w:b/>
                <w:color w:val="1D4ED8"/>
                <w:sz w:val="17"/>
              </w:rPr>
              <w:t>132,131 gas</w:t>
            </w:r>
          </w:p>
        </w:tc>
        <w:tc>
          <w:tcPr>
            <w:tcW w:type="dxa" w:w="2016"/>
            <w:shd w:val="clear" w:color="auto" w:fill="EFF6FF"/>
            <w:tcMar>
              <w:top w:w="50" w:type="dxa"/>
              <w:bottom w:w="50" w:type="dxa"/>
              <w:left w:w="70" w:type="dxa"/>
              <w:right w:w="70" w:type="dxa"/>
            </w:tcMar>
          </w:tcPr>
          <w:p>
            <w:pPr>
              <w:jc w:val="center"/>
            </w:pPr>
            <w:r>
              <w:rPr>
                <w:sz w:val="17"/>
              </w:rPr>
              <w:t>10.37 s</w:t>
            </w:r>
          </w:p>
        </w:tc>
      </w:tr>
    </w:tbl>
    <w:p>
      <w:pPr>
        <w:spacing w:before="0" w:after="80" w:line="276" w:lineRule="auto"/>
        <w:jc w:val="both"/>
      </w:pPr>
      <w:r>
        <w:rPr>
          <w:rFonts w:ascii="Times New Roman" w:hAnsi="Times New Roman"/>
          <w:sz w:val="20"/>
        </w:rPr>
        <w:t>To empirically verify the O(1) constant-time claim, we measured deleteDocument gas with varying numbers of documents registered: N = 1: 50,111 gas; N = 50: 50,111 gas; N = 500: 50,111 gas. The measured gas differential is strictly 0 gas units across all tested registry sizes, confirming strict O(1) invariance. Standard EVM execution for deletion requires cold slot resolution, 2 cold storage reads, 1 cold zero-to-nonzero write (deletedDocRegistry[docId] = true at 22,100 gas), LOG3 event (~1,500 gas), and base transaction fee (21,000 gas), totaling 50,111 gas. On Sepolia testnet, function dispatcher routing and execution wrapper overhead yielded 132,131 gas.</w:t>
      </w:r>
    </w:p>
    <w:p>
      <w:pPr>
        <w:keepNext/>
        <w:spacing w:before="280" w:after="80"/>
      </w:pPr>
      <w:r>
        <w:rPr>
          <w:rFonts w:ascii="Times New Roman" w:hAnsi="Times New Roman"/>
          <w:b/>
          <w:color w:val="0F172A"/>
          <w:sz w:val="24"/>
        </w:rPr>
        <w:t>VI. EXPERIMENTAL EVALUATION</w:t>
      </w:r>
    </w:p>
    <w:p>
      <w:pPr>
        <w:keepNext/>
        <w:spacing w:before="160" w:after="40"/>
      </w:pPr>
      <w:r>
        <w:rPr>
          <w:rFonts w:ascii="Times New Roman" w:hAnsi="Times New Roman"/>
          <w:b/>
          <w:i/>
          <w:color w:val="1E293B"/>
          <w:sz w:val="21"/>
        </w:rPr>
        <w:t>A. Experimental Configuration</w:t>
      </w:r>
    </w:p>
    <w:p>
      <w:pPr>
        <w:spacing w:before="0" w:after="80" w:line="276" w:lineRule="auto"/>
        <w:jc w:val="both"/>
      </w:pPr>
      <w:r>
        <w:rPr>
          <w:rFonts w:ascii="Times New Roman" w:hAnsi="Times New Roman"/>
          <w:sz w:val="20"/>
        </w:rPr>
        <w:t>All software experiments were conducted in Python 3.11.9 utilizing PyCryptodome and Web3.py on an Intel(R) Core(TM) i5-13420H processor (8 cores, 12 threads, up to 4.60 GHz) with 16.0 GB RAM running 64-bit Windows 11. Timings were collected using time.perf_counter() across 30 independent runs with un-timed warm-up iterations discarded to eliminate JIT anomalies (m=3 keywords per document). Mean and standard deviation values are reported in Table IV.</w:t>
      </w:r>
    </w:p>
    <w:p>
      <w:pPr>
        <w:spacing w:before="120" w:after="40"/>
        <w:jc w:val="center"/>
      </w:pPr>
      <w:r>
        <w:rPr>
          <w:b/>
          <w:sz w:val="19"/>
        </w:rPr>
        <w:t>TABLE IV: BENCHMARK RESULTS (30 RUNS, m=3, MEAN ± STD DEV [MEDIAN])</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1152"/>
            <w:shd w:val="clear" w:color="auto" w:fill="1E293B"/>
            <w:tcMar>
              <w:top w:w="60" w:type="dxa"/>
              <w:bottom w:w="60" w:type="dxa"/>
              <w:left w:w="80" w:type="dxa"/>
              <w:right w:w="80" w:type="dxa"/>
            </w:tcMar>
          </w:tcPr>
          <w:p>
            <w:pPr>
              <w:jc w:val="center"/>
            </w:pPr>
            <w:r>
              <w:rPr>
                <w:b/>
                <w:color w:val="FFFFFF"/>
                <w:sz w:val="16"/>
              </w:rPr>
              <w:t>Files (L)</w:t>
            </w:r>
          </w:p>
        </w:tc>
        <w:tc>
          <w:tcPr>
            <w:tcW w:type="dxa" w:w="1728"/>
            <w:shd w:val="clear" w:color="auto" w:fill="1E293B"/>
            <w:tcMar>
              <w:top w:w="60" w:type="dxa"/>
              <w:bottom w:w="60" w:type="dxa"/>
              <w:left w:w="80" w:type="dxa"/>
              <w:right w:w="80" w:type="dxa"/>
            </w:tcMar>
          </w:tcPr>
          <w:p>
            <w:pPr>
              <w:jc w:val="center"/>
            </w:pPr>
            <w:r>
              <w:rPr>
                <w:b/>
                <w:color w:val="FFFFFF"/>
                <w:sz w:val="16"/>
              </w:rPr>
              <w:t>Naive Re-enc (ms)</w:t>
            </w:r>
          </w:p>
        </w:tc>
        <w:tc>
          <w:tcPr>
            <w:tcW w:type="dxa" w:w="1728"/>
            <w:shd w:val="clear" w:color="auto" w:fill="1E293B"/>
            <w:tcMar>
              <w:top w:w="60" w:type="dxa"/>
              <w:bottom w:w="60" w:type="dxa"/>
              <w:left w:w="80" w:type="dxa"/>
              <w:right w:w="80" w:type="dxa"/>
            </w:tcMar>
          </w:tcPr>
          <w:p>
            <w:pPr>
              <w:jc w:val="center"/>
            </w:pPr>
            <w:r>
              <w:rPr>
                <w:b/>
                <w:color w:val="FFFFFF"/>
                <w:sz w:val="16"/>
              </w:rPr>
              <w:t>Cheng Idx (ms)</w:t>
            </w:r>
          </w:p>
        </w:tc>
        <w:tc>
          <w:tcPr>
            <w:tcW w:type="dxa" w:w="1728"/>
            <w:shd w:val="clear" w:color="auto" w:fill="1E293B"/>
            <w:tcMar>
              <w:top w:w="60" w:type="dxa"/>
              <w:bottom w:w="60" w:type="dxa"/>
              <w:left w:w="80" w:type="dxa"/>
              <w:right w:w="80" w:type="dxa"/>
            </w:tcMar>
          </w:tcPr>
          <w:p>
            <w:pPr>
              <w:jc w:val="center"/>
            </w:pPr>
            <w:r>
              <w:rPr>
                <w:b/>
                <w:color w:val="FFFFFF"/>
                <w:sz w:val="16"/>
              </w:rPr>
              <w:t>Cheng Full (ms)</w:t>
            </w:r>
          </w:p>
        </w:tc>
        <w:tc>
          <w:tcPr>
            <w:tcW w:type="dxa" w:w="1584"/>
            <w:shd w:val="clear" w:color="auto" w:fill="1E293B"/>
            <w:tcMar>
              <w:top w:w="60" w:type="dxa"/>
              <w:bottom w:w="60" w:type="dxa"/>
              <w:left w:w="80" w:type="dxa"/>
              <w:right w:w="80" w:type="dxa"/>
            </w:tcMar>
          </w:tcPr>
          <w:p>
            <w:pPr>
              <w:jc w:val="center"/>
            </w:pPr>
            <w:r>
              <w:rPr>
                <w:b/>
                <w:color w:val="FFFFFF"/>
                <w:sz w:val="16"/>
              </w:rPr>
              <w:t>BAMKS-D Idx</w:t>
            </w:r>
          </w:p>
        </w:tc>
        <w:tc>
          <w:tcPr>
            <w:tcW w:type="dxa" w:w="1584"/>
            <w:shd w:val="clear" w:color="auto" w:fill="1E293B"/>
            <w:tcMar>
              <w:top w:w="60" w:type="dxa"/>
              <w:bottom w:w="60" w:type="dxa"/>
              <w:left w:w="80" w:type="dxa"/>
              <w:right w:w="80" w:type="dxa"/>
            </w:tcMar>
          </w:tcPr>
          <w:p>
            <w:pPr>
              <w:jc w:val="center"/>
            </w:pPr>
            <w:r>
              <w:rPr>
                <w:b/>
                <w:color w:val="FFFFFF"/>
                <w:sz w:val="16"/>
              </w:rPr>
              <w:t>BAMKS-D Full</w:t>
            </w:r>
          </w:p>
        </w:tc>
        <w:tc>
          <w:tcPr>
            <w:tcW w:type="dxa" w:w="1440"/>
            <w:shd w:val="clear" w:color="auto" w:fill="1E293B"/>
            <w:tcMar>
              <w:top w:w="60" w:type="dxa"/>
              <w:bottom w:w="60" w:type="dxa"/>
              <w:left w:w="80" w:type="dxa"/>
              <w:right w:w="80" w:type="dxa"/>
            </w:tcMar>
          </w:tcPr>
          <w:p>
            <w:pPr>
              <w:jc w:val="center"/>
            </w:pPr>
            <w:r>
              <w:rPr>
                <w:b/>
                <w:color w:val="FFFFFF"/>
                <w:sz w:val="16"/>
              </w:rPr>
              <w:t>Speedup</w:t>
            </w:r>
          </w:p>
        </w:tc>
      </w:tr>
      <w:tr>
        <w:tc>
          <w:tcPr>
            <w:tcW w:type="dxa" w:w="1152"/>
            <w:shd w:val="clear" w:color="auto" w:fill="F8FAFC"/>
            <w:tcMar>
              <w:top w:w="50" w:type="dxa"/>
              <w:bottom w:w="50" w:type="dxa"/>
              <w:left w:w="70" w:type="dxa"/>
              <w:right w:w="70" w:type="dxa"/>
            </w:tcMar>
          </w:tcPr>
          <w:p>
            <w:pPr>
              <w:jc w:val="center"/>
            </w:pPr>
            <w:r>
              <w:rPr>
                <w:sz w:val="16"/>
              </w:rPr>
              <w:t>10</w:t>
            </w:r>
          </w:p>
        </w:tc>
        <w:tc>
          <w:tcPr>
            <w:tcW w:type="dxa" w:w="1728"/>
            <w:shd w:val="clear" w:color="auto" w:fill="F8FAFC"/>
            <w:tcMar>
              <w:top w:w="50" w:type="dxa"/>
              <w:bottom w:w="50" w:type="dxa"/>
              <w:left w:w="70" w:type="dxa"/>
              <w:right w:w="70" w:type="dxa"/>
            </w:tcMar>
          </w:tcPr>
          <w:p>
            <w:pPr>
              <w:jc w:val="center"/>
            </w:pPr>
            <w:r>
              <w:rPr>
                <w:sz w:val="16"/>
              </w:rPr>
              <w:t>0.49 [0.45]</w:t>
            </w:r>
          </w:p>
        </w:tc>
        <w:tc>
          <w:tcPr>
            <w:tcW w:type="dxa" w:w="1728"/>
            <w:shd w:val="clear" w:color="auto" w:fill="F8FAFC"/>
            <w:tcMar>
              <w:top w:w="50" w:type="dxa"/>
              <w:bottom w:w="50" w:type="dxa"/>
              <w:left w:w="70" w:type="dxa"/>
              <w:right w:w="70" w:type="dxa"/>
            </w:tcMar>
          </w:tcPr>
          <w:p>
            <w:pPr>
              <w:jc w:val="center"/>
            </w:pPr>
            <w:r>
              <w:rPr>
                <w:sz w:val="16"/>
              </w:rPr>
              <w:t>0.003 [0.003]</w:t>
            </w:r>
          </w:p>
        </w:tc>
        <w:tc>
          <w:tcPr>
            <w:tcW w:type="dxa" w:w="1728"/>
            <w:shd w:val="clear" w:color="auto" w:fill="F8FAFC"/>
            <w:tcMar>
              <w:top w:w="50" w:type="dxa"/>
              <w:bottom w:w="50" w:type="dxa"/>
              <w:left w:w="70" w:type="dxa"/>
              <w:right w:w="70" w:type="dxa"/>
            </w:tcMar>
          </w:tcPr>
          <w:p>
            <w:pPr>
              <w:jc w:val="center"/>
            </w:pPr>
            <w:r>
              <w:rPr>
                <w:sz w:val="16"/>
              </w:rPr>
              <w:t>0.05 [0.05]</w:t>
            </w:r>
          </w:p>
        </w:tc>
        <w:tc>
          <w:tcPr>
            <w:tcW w:type="dxa" w:w="1584"/>
            <w:shd w:val="clear" w:color="auto" w:fill="F8FAFC"/>
            <w:tcMar>
              <w:top w:w="50" w:type="dxa"/>
              <w:bottom w:w="50" w:type="dxa"/>
              <w:left w:w="70" w:type="dxa"/>
              <w:right w:w="70" w:type="dxa"/>
            </w:tcMar>
          </w:tcPr>
          <w:p>
            <w:pPr>
              <w:jc w:val="center"/>
            </w:pPr>
            <w:r>
              <w:rPr>
                <w:sz w:val="16"/>
              </w:rPr>
              <w:t>0.23 [0.22]</w:t>
            </w:r>
          </w:p>
        </w:tc>
        <w:tc>
          <w:tcPr>
            <w:tcW w:type="dxa" w:w="1584"/>
            <w:shd w:val="clear" w:color="auto" w:fill="F8FAFC"/>
            <w:tcMar>
              <w:top w:w="50" w:type="dxa"/>
              <w:bottom w:w="50" w:type="dxa"/>
              <w:left w:w="70" w:type="dxa"/>
              <w:right w:w="70" w:type="dxa"/>
            </w:tcMar>
          </w:tcPr>
          <w:p>
            <w:pPr>
              <w:jc w:val="center"/>
            </w:pPr>
            <w:r>
              <w:rPr>
                <w:sz w:val="16"/>
              </w:rPr>
              <w:t>0.27 [0.26]</w:t>
            </w:r>
          </w:p>
        </w:tc>
        <w:tc>
          <w:tcPr>
            <w:tcW w:type="dxa" w:w="1440"/>
            <w:shd w:val="clear" w:color="auto" w:fill="F8FAFC"/>
            <w:tcMar>
              <w:top w:w="50" w:type="dxa"/>
              <w:bottom w:w="50" w:type="dxa"/>
              <w:left w:w="70" w:type="dxa"/>
              <w:right w:w="70" w:type="dxa"/>
            </w:tcMar>
          </w:tcPr>
          <w:p>
            <w:pPr>
              <w:jc w:val="center"/>
            </w:pPr>
            <w:r>
              <w:rPr>
                <w:sz w:val="16"/>
              </w:rPr>
              <w:t>0.01x / 0.17x</w:t>
            </w:r>
          </w:p>
        </w:tc>
      </w:tr>
      <w:tr>
        <w:tc>
          <w:tcPr>
            <w:tcW w:type="dxa" w:w="1152"/>
            <w:shd w:val="clear" w:color="auto" w:fill="FFFFFF"/>
            <w:tcMar>
              <w:top w:w="50" w:type="dxa"/>
              <w:bottom w:w="50" w:type="dxa"/>
              <w:left w:w="70" w:type="dxa"/>
              <w:right w:w="70" w:type="dxa"/>
            </w:tcMar>
          </w:tcPr>
          <w:p>
            <w:pPr>
              <w:jc w:val="center"/>
            </w:pPr>
            <w:r>
              <w:rPr>
                <w:sz w:val="16"/>
              </w:rPr>
              <w:t>50</w:t>
            </w:r>
          </w:p>
        </w:tc>
        <w:tc>
          <w:tcPr>
            <w:tcW w:type="dxa" w:w="1728"/>
            <w:shd w:val="clear" w:color="auto" w:fill="FFFFFF"/>
            <w:tcMar>
              <w:top w:w="50" w:type="dxa"/>
              <w:bottom w:w="50" w:type="dxa"/>
              <w:left w:w="70" w:type="dxa"/>
              <w:right w:w="70" w:type="dxa"/>
            </w:tcMar>
          </w:tcPr>
          <w:p>
            <w:pPr>
              <w:jc w:val="center"/>
            </w:pPr>
            <w:r>
              <w:rPr>
                <w:sz w:val="16"/>
              </w:rPr>
              <w:t>2.26 [2.20]</w:t>
            </w:r>
          </w:p>
        </w:tc>
        <w:tc>
          <w:tcPr>
            <w:tcW w:type="dxa" w:w="1728"/>
            <w:shd w:val="clear" w:color="auto" w:fill="FFFFFF"/>
            <w:tcMar>
              <w:top w:w="50" w:type="dxa"/>
              <w:bottom w:w="50" w:type="dxa"/>
              <w:left w:w="70" w:type="dxa"/>
              <w:right w:w="70" w:type="dxa"/>
            </w:tcMar>
          </w:tcPr>
          <w:p>
            <w:pPr>
              <w:jc w:val="center"/>
            </w:pPr>
            <w:r>
              <w:rPr>
                <w:sz w:val="16"/>
              </w:rPr>
              <w:t>0.015 [0.015]</w:t>
            </w:r>
          </w:p>
        </w:tc>
        <w:tc>
          <w:tcPr>
            <w:tcW w:type="dxa" w:w="1728"/>
            <w:shd w:val="clear" w:color="auto" w:fill="FFFFFF"/>
            <w:tcMar>
              <w:top w:w="50" w:type="dxa"/>
              <w:bottom w:w="50" w:type="dxa"/>
              <w:left w:w="70" w:type="dxa"/>
              <w:right w:w="70" w:type="dxa"/>
            </w:tcMar>
          </w:tcPr>
          <w:p>
            <w:pPr>
              <w:jc w:val="center"/>
            </w:pPr>
            <w:r>
              <w:rPr>
                <w:sz w:val="16"/>
              </w:rPr>
              <w:t>0.06 [0.06]</w:t>
            </w:r>
          </w:p>
        </w:tc>
        <w:tc>
          <w:tcPr>
            <w:tcW w:type="dxa" w:w="1584"/>
            <w:shd w:val="clear" w:color="auto" w:fill="FFFFFF"/>
            <w:tcMar>
              <w:top w:w="50" w:type="dxa"/>
              <w:bottom w:w="50" w:type="dxa"/>
              <w:left w:w="70" w:type="dxa"/>
              <w:right w:w="70" w:type="dxa"/>
            </w:tcMar>
          </w:tcPr>
          <w:p>
            <w:pPr>
              <w:jc w:val="center"/>
            </w:pPr>
            <w:r>
              <w:rPr>
                <w:sz w:val="16"/>
              </w:rPr>
              <w:t>0.23 [0.22]</w:t>
            </w:r>
          </w:p>
        </w:tc>
        <w:tc>
          <w:tcPr>
            <w:tcW w:type="dxa" w:w="1584"/>
            <w:shd w:val="clear" w:color="auto" w:fill="FFFFFF"/>
            <w:tcMar>
              <w:top w:w="50" w:type="dxa"/>
              <w:bottom w:w="50" w:type="dxa"/>
              <w:left w:w="70" w:type="dxa"/>
              <w:right w:w="70" w:type="dxa"/>
            </w:tcMar>
          </w:tcPr>
          <w:p>
            <w:pPr>
              <w:jc w:val="center"/>
            </w:pPr>
            <w:r>
              <w:rPr>
                <w:sz w:val="16"/>
              </w:rPr>
              <w:t>0.27 [0.26]</w:t>
            </w:r>
          </w:p>
        </w:tc>
        <w:tc>
          <w:tcPr>
            <w:tcW w:type="dxa" w:w="1440"/>
            <w:shd w:val="clear" w:color="auto" w:fill="FFFFFF"/>
            <w:tcMar>
              <w:top w:w="50" w:type="dxa"/>
              <w:bottom w:w="50" w:type="dxa"/>
              <w:left w:w="70" w:type="dxa"/>
              <w:right w:w="70" w:type="dxa"/>
            </w:tcMar>
          </w:tcPr>
          <w:p>
            <w:pPr>
              <w:jc w:val="center"/>
            </w:pPr>
            <w:r>
              <w:rPr>
                <w:sz w:val="16"/>
              </w:rPr>
              <w:t>0.06x / 0.23x</w:t>
            </w:r>
          </w:p>
        </w:tc>
      </w:tr>
      <w:tr>
        <w:tc>
          <w:tcPr>
            <w:tcW w:type="dxa" w:w="1152"/>
            <w:shd w:val="clear" w:color="auto" w:fill="F8FAFC"/>
            <w:tcMar>
              <w:top w:w="50" w:type="dxa"/>
              <w:bottom w:w="50" w:type="dxa"/>
              <w:left w:w="70" w:type="dxa"/>
              <w:right w:w="70" w:type="dxa"/>
            </w:tcMar>
          </w:tcPr>
          <w:p>
            <w:pPr>
              <w:jc w:val="center"/>
            </w:pPr>
            <w:r>
              <w:rPr>
                <w:sz w:val="16"/>
              </w:rPr>
              <w:t>100</w:t>
            </w:r>
          </w:p>
        </w:tc>
        <w:tc>
          <w:tcPr>
            <w:tcW w:type="dxa" w:w="1728"/>
            <w:shd w:val="clear" w:color="auto" w:fill="F8FAFC"/>
            <w:tcMar>
              <w:top w:w="50" w:type="dxa"/>
              <w:bottom w:w="50" w:type="dxa"/>
              <w:left w:w="70" w:type="dxa"/>
              <w:right w:w="70" w:type="dxa"/>
            </w:tcMar>
          </w:tcPr>
          <w:p>
            <w:pPr>
              <w:jc w:val="center"/>
            </w:pPr>
            <w:r>
              <w:rPr>
                <w:sz w:val="16"/>
              </w:rPr>
              <w:t>4.66 [4.57]</w:t>
            </w:r>
          </w:p>
        </w:tc>
        <w:tc>
          <w:tcPr>
            <w:tcW w:type="dxa" w:w="1728"/>
            <w:shd w:val="clear" w:color="auto" w:fill="F8FAFC"/>
            <w:tcMar>
              <w:top w:w="50" w:type="dxa"/>
              <w:bottom w:w="50" w:type="dxa"/>
              <w:left w:w="70" w:type="dxa"/>
              <w:right w:w="70" w:type="dxa"/>
            </w:tcMar>
          </w:tcPr>
          <w:p>
            <w:pPr>
              <w:jc w:val="center"/>
            </w:pPr>
            <w:r>
              <w:rPr>
                <w:sz w:val="16"/>
              </w:rPr>
              <w:t>0.032 [0.031]</w:t>
            </w:r>
          </w:p>
        </w:tc>
        <w:tc>
          <w:tcPr>
            <w:tcW w:type="dxa" w:w="1728"/>
            <w:shd w:val="clear" w:color="auto" w:fill="F8FAFC"/>
            <w:tcMar>
              <w:top w:w="50" w:type="dxa"/>
              <w:bottom w:w="50" w:type="dxa"/>
              <w:left w:w="70" w:type="dxa"/>
              <w:right w:w="70" w:type="dxa"/>
            </w:tcMar>
          </w:tcPr>
          <w:p>
            <w:pPr>
              <w:jc w:val="center"/>
            </w:pPr>
            <w:r>
              <w:rPr>
                <w:sz w:val="16"/>
              </w:rPr>
              <w:t>0.09 [0.08]</w:t>
            </w:r>
          </w:p>
        </w:tc>
        <w:tc>
          <w:tcPr>
            <w:tcW w:type="dxa" w:w="1584"/>
            <w:shd w:val="clear" w:color="auto" w:fill="F8FAFC"/>
            <w:tcMar>
              <w:top w:w="50" w:type="dxa"/>
              <w:bottom w:w="50" w:type="dxa"/>
              <w:left w:w="70" w:type="dxa"/>
              <w:right w:w="70" w:type="dxa"/>
            </w:tcMar>
          </w:tcPr>
          <w:p>
            <w:pPr>
              <w:jc w:val="center"/>
            </w:pPr>
            <w:r>
              <w:rPr>
                <w:sz w:val="16"/>
              </w:rPr>
              <w:t>0.22 [0.22]</w:t>
            </w:r>
          </w:p>
        </w:tc>
        <w:tc>
          <w:tcPr>
            <w:tcW w:type="dxa" w:w="1584"/>
            <w:shd w:val="clear" w:color="auto" w:fill="F8FAFC"/>
            <w:tcMar>
              <w:top w:w="50" w:type="dxa"/>
              <w:bottom w:w="50" w:type="dxa"/>
              <w:left w:w="70" w:type="dxa"/>
              <w:right w:w="70" w:type="dxa"/>
            </w:tcMar>
          </w:tcPr>
          <w:p>
            <w:pPr>
              <w:jc w:val="center"/>
            </w:pPr>
            <w:r>
              <w:rPr>
                <w:sz w:val="16"/>
              </w:rPr>
              <w:t>0.27 [0.26]</w:t>
            </w:r>
          </w:p>
        </w:tc>
        <w:tc>
          <w:tcPr>
            <w:tcW w:type="dxa" w:w="1440"/>
            <w:shd w:val="clear" w:color="auto" w:fill="F8FAFC"/>
            <w:tcMar>
              <w:top w:w="50" w:type="dxa"/>
              <w:bottom w:w="50" w:type="dxa"/>
              <w:left w:w="70" w:type="dxa"/>
              <w:right w:w="70" w:type="dxa"/>
            </w:tcMar>
          </w:tcPr>
          <w:p>
            <w:pPr>
              <w:jc w:val="center"/>
            </w:pPr>
            <w:r>
              <w:rPr>
                <w:sz w:val="16"/>
              </w:rPr>
              <w:t>0.12x / 0.34x</w:t>
            </w:r>
          </w:p>
        </w:tc>
      </w:tr>
      <w:tr>
        <w:tc>
          <w:tcPr>
            <w:tcW w:type="dxa" w:w="1152"/>
            <w:shd w:val="clear" w:color="auto" w:fill="FFFFFF"/>
            <w:tcMar>
              <w:top w:w="50" w:type="dxa"/>
              <w:bottom w:w="50" w:type="dxa"/>
              <w:left w:w="70" w:type="dxa"/>
              <w:right w:w="70" w:type="dxa"/>
            </w:tcMar>
          </w:tcPr>
          <w:p>
            <w:pPr>
              <w:jc w:val="center"/>
            </w:pPr>
            <w:r>
              <w:rPr>
                <w:sz w:val="16"/>
              </w:rPr>
              <w:t>500</w:t>
            </w:r>
          </w:p>
        </w:tc>
        <w:tc>
          <w:tcPr>
            <w:tcW w:type="dxa" w:w="1728"/>
            <w:shd w:val="clear" w:color="auto" w:fill="FFFFFF"/>
            <w:tcMar>
              <w:top w:w="50" w:type="dxa"/>
              <w:bottom w:w="50" w:type="dxa"/>
              <w:left w:w="70" w:type="dxa"/>
              <w:right w:w="70" w:type="dxa"/>
            </w:tcMar>
          </w:tcPr>
          <w:p>
            <w:pPr>
              <w:jc w:val="center"/>
            </w:pPr>
            <w:r>
              <w:rPr>
                <w:sz w:val="16"/>
              </w:rPr>
              <w:t>24.49 [23.39]</w:t>
            </w:r>
          </w:p>
        </w:tc>
        <w:tc>
          <w:tcPr>
            <w:tcW w:type="dxa" w:w="1728"/>
            <w:shd w:val="clear" w:color="auto" w:fill="FFFFFF"/>
            <w:tcMar>
              <w:top w:w="50" w:type="dxa"/>
              <w:bottom w:w="50" w:type="dxa"/>
              <w:left w:w="70" w:type="dxa"/>
              <w:right w:w="70" w:type="dxa"/>
            </w:tcMar>
          </w:tcPr>
          <w:p>
            <w:pPr>
              <w:jc w:val="center"/>
            </w:pPr>
            <w:r>
              <w:rPr>
                <w:sz w:val="16"/>
              </w:rPr>
              <w:t>0.183 [0.151]</w:t>
            </w:r>
          </w:p>
        </w:tc>
        <w:tc>
          <w:tcPr>
            <w:tcW w:type="dxa" w:w="1728"/>
            <w:shd w:val="clear" w:color="auto" w:fill="FFFFFF"/>
            <w:tcMar>
              <w:top w:w="50" w:type="dxa"/>
              <w:bottom w:w="50" w:type="dxa"/>
              <w:left w:w="70" w:type="dxa"/>
              <w:right w:w="70" w:type="dxa"/>
            </w:tcMar>
          </w:tcPr>
          <w:p>
            <w:pPr>
              <w:jc w:val="center"/>
            </w:pPr>
            <w:r>
              <w:rPr>
                <w:sz w:val="16"/>
              </w:rPr>
              <w:t>0.28 [0.25]</w:t>
            </w:r>
          </w:p>
        </w:tc>
        <w:tc>
          <w:tcPr>
            <w:tcW w:type="dxa" w:w="1584"/>
            <w:shd w:val="clear" w:color="auto" w:fill="FFFFFF"/>
            <w:tcMar>
              <w:top w:w="50" w:type="dxa"/>
              <w:bottom w:w="50" w:type="dxa"/>
              <w:left w:w="70" w:type="dxa"/>
              <w:right w:w="70" w:type="dxa"/>
            </w:tcMar>
          </w:tcPr>
          <w:p>
            <w:pPr>
              <w:jc w:val="center"/>
            </w:pPr>
            <w:r>
              <w:rPr>
                <w:sz w:val="16"/>
              </w:rPr>
              <w:t>0.25 [0.24]</w:t>
            </w:r>
          </w:p>
        </w:tc>
        <w:tc>
          <w:tcPr>
            <w:tcW w:type="dxa" w:w="1584"/>
            <w:shd w:val="clear" w:color="auto" w:fill="FFFFFF"/>
            <w:tcMar>
              <w:top w:w="50" w:type="dxa"/>
              <w:bottom w:w="50" w:type="dxa"/>
              <w:left w:w="70" w:type="dxa"/>
              <w:right w:w="70" w:type="dxa"/>
            </w:tcMar>
          </w:tcPr>
          <w:p>
            <w:pPr>
              <w:jc w:val="center"/>
            </w:pPr>
            <w:r>
              <w:rPr>
                <w:sz w:val="16"/>
              </w:rPr>
              <w:t>0.31 [0.27]</w:t>
            </w:r>
          </w:p>
        </w:tc>
        <w:tc>
          <w:tcPr>
            <w:tcW w:type="dxa" w:w="1440"/>
            <w:shd w:val="clear" w:color="auto" w:fill="FFFFFF"/>
            <w:tcMar>
              <w:top w:w="50" w:type="dxa"/>
              <w:bottom w:w="50" w:type="dxa"/>
              <w:left w:w="70" w:type="dxa"/>
              <w:right w:w="70" w:type="dxa"/>
            </w:tcMar>
          </w:tcPr>
          <w:p>
            <w:pPr>
              <w:jc w:val="center"/>
            </w:pPr>
            <w:r>
              <w:rPr>
                <w:sz w:val="16"/>
              </w:rPr>
              <w:t>0.58x / 0.90x</w:t>
            </w:r>
          </w:p>
        </w:tc>
      </w:tr>
      <w:tr>
        <w:tc>
          <w:tcPr>
            <w:tcW w:type="dxa" w:w="1152"/>
            <w:shd w:val="clear" w:color="auto" w:fill="F8FAFC"/>
            <w:tcMar>
              <w:top w:w="50" w:type="dxa"/>
              <w:bottom w:w="50" w:type="dxa"/>
              <w:left w:w="70" w:type="dxa"/>
              <w:right w:w="70" w:type="dxa"/>
            </w:tcMar>
          </w:tcPr>
          <w:p>
            <w:pPr>
              <w:jc w:val="center"/>
            </w:pPr>
            <w:r>
              <w:rPr>
                <w:sz w:val="16"/>
              </w:rPr>
              <w:t>1,000</w:t>
            </w:r>
          </w:p>
        </w:tc>
        <w:tc>
          <w:tcPr>
            <w:tcW w:type="dxa" w:w="1728"/>
            <w:shd w:val="clear" w:color="auto" w:fill="F8FAFC"/>
            <w:tcMar>
              <w:top w:w="50" w:type="dxa"/>
              <w:bottom w:w="50" w:type="dxa"/>
              <w:left w:w="70" w:type="dxa"/>
              <w:right w:w="70" w:type="dxa"/>
            </w:tcMar>
          </w:tcPr>
          <w:p>
            <w:pPr>
              <w:jc w:val="center"/>
            </w:pPr>
            <w:r>
              <w:rPr>
                <w:sz w:val="16"/>
              </w:rPr>
              <w:t>45.60 [45.54]</w:t>
            </w:r>
          </w:p>
        </w:tc>
        <w:tc>
          <w:tcPr>
            <w:tcW w:type="dxa" w:w="1728"/>
            <w:shd w:val="clear" w:color="auto" w:fill="F8FAFC"/>
            <w:tcMar>
              <w:top w:w="50" w:type="dxa"/>
              <w:bottom w:w="50" w:type="dxa"/>
              <w:left w:w="70" w:type="dxa"/>
              <w:right w:w="70" w:type="dxa"/>
            </w:tcMar>
          </w:tcPr>
          <w:p>
            <w:pPr>
              <w:jc w:val="center"/>
            </w:pPr>
            <w:r>
              <w:rPr>
                <w:sz w:val="16"/>
              </w:rPr>
              <w:t>0.325 [0.297]</w:t>
            </w:r>
          </w:p>
        </w:tc>
        <w:tc>
          <w:tcPr>
            <w:tcW w:type="dxa" w:w="1728"/>
            <w:shd w:val="clear" w:color="auto" w:fill="F8FAFC"/>
            <w:tcMar>
              <w:top w:w="50" w:type="dxa"/>
              <w:bottom w:w="50" w:type="dxa"/>
              <w:left w:w="70" w:type="dxa"/>
              <w:right w:w="70" w:type="dxa"/>
            </w:tcMar>
          </w:tcPr>
          <w:p>
            <w:pPr>
              <w:jc w:val="center"/>
            </w:pPr>
            <w:r>
              <w:rPr>
                <w:sz w:val="16"/>
              </w:rPr>
              <w:t>0.44 [0.41]</w:t>
            </w:r>
          </w:p>
        </w:tc>
        <w:tc>
          <w:tcPr>
            <w:tcW w:type="dxa" w:w="1584"/>
            <w:shd w:val="clear" w:color="auto" w:fill="F8FAFC"/>
            <w:tcMar>
              <w:top w:w="50" w:type="dxa"/>
              <w:bottom w:w="50" w:type="dxa"/>
              <w:left w:w="70" w:type="dxa"/>
              <w:right w:w="70" w:type="dxa"/>
            </w:tcMar>
          </w:tcPr>
          <w:p>
            <w:pPr>
              <w:jc w:val="center"/>
            </w:pPr>
            <w:r>
              <w:rPr>
                <w:sz w:val="16"/>
              </w:rPr>
              <w:t>0.23 [0.23]</w:t>
            </w:r>
          </w:p>
        </w:tc>
        <w:tc>
          <w:tcPr>
            <w:tcW w:type="dxa" w:w="1584"/>
            <w:shd w:val="clear" w:color="auto" w:fill="F8FAFC"/>
            <w:tcMar>
              <w:top w:w="50" w:type="dxa"/>
              <w:bottom w:w="50" w:type="dxa"/>
              <w:left w:w="70" w:type="dxa"/>
              <w:right w:w="70" w:type="dxa"/>
            </w:tcMar>
          </w:tcPr>
          <w:p>
            <w:pPr>
              <w:jc w:val="center"/>
            </w:pPr>
            <w:r>
              <w:rPr>
                <w:sz w:val="16"/>
              </w:rPr>
              <w:t>0.28 [0.27]</w:t>
            </w:r>
          </w:p>
        </w:tc>
        <w:tc>
          <w:tcPr>
            <w:tcW w:type="dxa" w:w="1440"/>
            <w:shd w:val="clear" w:color="auto" w:fill="F8FAFC"/>
            <w:tcMar>
              <w:top w:w="50" w:type="dxa"/>
              <w:bottom w:w="50" w:type="dxa"/>
              <w:left w:w="70" w:type="dxa"/>
              <w:right w:w="70" w:type="dxa"/>
            </w:tcMar>
          </w:tcPr>
          <w:p>
            <w:pPr>
              <w:jc w:val="center"/>
            </w:pPr>
            <w:r>
              <w:rPr>
                <w:sz w:val="16"/>
              </w:rPr>
              <w:t>1.15x / 1.56x</w:t>
            </w:r>
          </w:p>
        </w:tc>
      </w:tr>
      <w:tr>
        <w:tc>
          <w:tcPr>
            <w:tcW w:type="dxa" w:w="1152"/>
            <w:shd w:val="clear" w:color="auto" w:fill="FFFFFF"/>
            <w:tcMar>
              <w:top w:w="50" w:type="dxa"/>
              <w:bottom w:w="50" w:type="dxa"/>
              <w:left w:w="70" w:type="dxa"/>
              <w:right w:w="70" w:type="dxa"/>
            </w:tcMar>
          </w:tcPr>
          <w:p>
            <w:pPr>
              <w:jc w:val="center"/>
            </w:pPr>
            <w:r>
              <w:rPr>
                <w:sz w:val="16"/>
              </w:rPr>
              <w:t>2,000</w:t>
            </w:r>
          </w:p>
        </w:tc>
        <w:tc>
          <w:tcPr>
            <w:tcW w:type="dxa" w:w="1728"/>
            <w:shd w:val="clear" w:color="auto" w:fill="FFFFFF"/>
            <w:tcMar>
              <w:top w:w="50" w:type="dxa"/>
              <w:bottom w:w="50" w:type="dxa"/>
              <w:left w:w="70" w:type="dxa"/>
              <w:right w:w="70" w:type="dxa"/>
            </w:tcMar>
          </w:tcPr>
          <w:p>
            <w:pPr>
              <w:jc w:val="center"/>
            </w:pPr>
            <w:r>
              <w:rPr>
                <w:sz w:val="16"/>
              </w:rPr>
              <w:t>103.32 [98.32]</w:t>
            </w:r>
          </w:p>
        </w:tc>
        <w:tc>
          <w:tcPr>
            <w:tcW w:type="dxa" w:w="1728"/>
            <w:shd w:val="clear" w:color="auto" w:fill="FFFFFF"/>
            <w:tcMar>
              <w:top w:w="50" w:type="dxa"/>
              <w:bottom w:w="50" w:type="dxa"/>
              <w:left w:w="70" w:type="dxa"/>
              <w:right w:w="70" w:type="dxa"/>
            </w:tcMar>
          </w:tcPr>
          <w:p>
            <w:pPr>
              <w:jc w:val="center"/>
            </w:pPr>
            <w:r>
              <w:rPr>
                <w:sz w:val="16"/>
              </w:rPr>
              <w:t>0.662 [0.602]</w:t>
            </w:r>
          </w:p>
        </w:tc>
        <w:tc>
          <w:tcPr>
            <w:tcW w:type="dxa" w:w="1728"/>
            <w:shd w:val="clear" w:color="auto" w:fill="FFFFFF"/>
            <w:tcMar>
              <w:top w:w="50" w:type="dxa"/>
              <w:bottom w:w="50" w:type="dxa"/>
              <w:left w:w="70" w:type="dxa"/>
              <w:right w:w="70" w:type="dxa"/>
            </w:tcMar>
          </w:tcPr>
          <w:p>
            <w:pPr>
              <w:jc w:val="center"/>
            </w:pPr>
            <w:r>
              <w:rPr>
                <w:sz w:val="16"/>
              </w:rPr>
              <w:t>0.79 [0.74]</w:t>
            </w:r>
          </w:p>
        </w:tc>
        <w:tc>
          <w:tcPr>
            <w:tcW w:type="dxa" w:w="1584"/>
            <w:shd w:val="clear" w:color="auto" w:fill="FFFFFF"/>
            <w:tcMar>
              <w:top w:w="50" w:type="dxa"/>
              <w:bottom w:w="50" w:type="dxa"/>
              <w:left w:w="70" w:type="dxa"/>
              <w:right w:w="70" w:type="dxa"/>
            </w:tcMar>
          </w:tcPr>
          <w:p>
            <w:pPr>
              <w:jc w:val="center"/>
            </w:pPr>
            <w:r>
              <w:rPr>
                <w:sz w:val="16"/>
              </w:rPr>
              <w:t>0.25 [0.24]</w:t>
            </w:r>
          </w:p>
        </w:tc>
        <w:tc>
          <w:tcPr>
            <w:tcW w:type="dxa" w:w="1584"/>
            <w:shd w:val="clear" w:color="auto" w:fill="FFFFFF"/>
            <w:tcMar>
              <w:top w:w="50" w:type="dxa"/>
              <w:bottom w:w="50" w:type="dxa"/>
              <w:left w:w="70" w:type="dxa"/>
              <w:right w:w="70" w:type="dxa"/>
            </w:tcMar>
          </w:tcPr>
          <w:p>
            <w:pPr>
              <w:jc w:val="center"/>
            </w:pPr>
            <w:r>
              <w:rPr>
                <w:sz w:val="16"/>
              </w:rPr>
              <w:t>0.32 [0.27]</w:t>
            </w:r>
          </w:p>
        </w:tc>
        <w:tc>
          <w:tcPr>
            <w:tcW w:type="dxa" w:w="1440"/>
            <w:shd w:val="clear" w:color="auto" w:fill="FFFFFF"/>
            <w:tcMar>
              <w:top w:w="50" w:type="dxa"/>
              <w:bottom w:w="50" w:type="dxa"/>
              <w:left w:w="70" w:type="dxa"/>
              <w:right w:w="70" w:type="dxa"/>
            </w:tcMar>
          </w:tcPr>
          <w:p>
            <w:pPr>
              <w:jc w:val="center"/>
            </w:pPr>
            <w:r>
              <w:rPr>
                <w:sz w:val="16"/>
              </w:rPr>
              <w:t>2.04x / 2.42x</w:t>
            </w:r>
          </w:p>
        </w:tc>
      </w:tr>
      <w:tr>
        <w:tc>
          <w:tcPr>
            <w:tcW w:type="dxa" w:w="1152"/>
            <w:shd w:val="clear" w:color="auto" w:fill="EFF6FF"/>
            <w:tcMar>
              <w:top w:w="50" w:type="dxa"/>
              <w:bottom w:w="50" w:type="dxa"/>
              <w:left w:w="70" w:type="dxa"/>
              <w:right w:w="70" w:type="dxa"/>
            </w:tcMar>
          </w:tcPr>
          <w:p>
            <w:pPr>
              <w:jc w:val="center"/>
            </w:pPr>
            <w:r>
              <w:rPr>
                <w:sz w:val="16"/>
              </w:rPr>
              <w:t>5,000</w:t>
            </w:r>
          </w:p>
        </w:tc>
        <w:tc>
          <w:tcPr>
            <w:tcW w:type="dxa" w:w="1728"/>
            <w:shd w:val="clear" w:color="auto" w:fill="EFF6FF"/>
            <w:tcMar>
              <w:top w:w="50" w:type="dxa"/>
              <w:bottom w:w="50" w:type="dxa"/>
              <w:left w:w="70" w:type="dxa"/>
              <w:right w:w="70" w:type="dxa"/>
            </w:tcMar>
          </w:tcPr>
          <w:p>
            <w:pPr>
              <w:jc w:val="center"/>
            </w:pPr>
            <w:r>
              <w:rPr>
                <w:sz w:val="16"/>
              </w:rPr>
              <w:t>243.64 [238.70]</w:t>
            </w:r>
          </w:p>
        </w:tc>
        <w:tc>
          <w:tcPr>
            <w:tcW w:type="dxa" w:w="1728"/>
            <w:shd w:val="clear" w:color="auto" w:fill="EFF6FF"/>
            <w:tcMar>
              <w:top w:w="50" w:type="dxa"/>
              <w:bottom w:w="50" w:type="dxa"/>
              <w:left w:w="70" w:type="dxa"/>
              <w:right w:w="70" w:type="dxa"/>
            </w:tcMar>
          </w:tcPr>
          <w:p>
            <w:pPr>
              <w:jc w:val="center"/>
            </w:pPr>
            <w:r>
              <w:rPr>
                <w:sz w:val="16"/>
              </w:rPr>
              <w:t>1.772 [1.479]</w:t>
            </w:r>
          </w:p>
        </w:tc>
        <w:tc>
          <w:tcPr>
            <w:tcW w:type="dxa" w:w="1728"/>
            <w:shd w:val="clear" w:color="auto" w:fill="EFF6FF"/>
            <w:tcMar>
              <w:top w:w="50" w:type="dxa"/>
              <w:bottom w:w="50" w:type="dxa"/>
              <w:left w:w="70" w:type="dxa"/>
              <w:right w:w="70" w:type="dxa"/>
            </w:tcMar>
          </w:tcPr>
          <w:p>
            <w:pPr>
              <w:jc w:val="center"/>
            </w:pPr>
            <w:r>
              <w:rPr>
                <w:sz w:val="16"/>
              </w:rPr>
              <w:t>1.84 [1.60]</w:t>
            </w:r>
          </w:p>
        </w:tc>
        <w:tc>
          <w:tcPr>
            <w:tcW w:type="dxa" w:w="1584"/>
            <w:shd w:val="clear" w:color="auto" w:fill="EFF6FF"/>
            <w:tcMar>
              <w:top w:w="50" w:type="dxa"/>
              <w:bottom w:w="50" w:type="dxa"/>
              <w:left w:w="70" w:type="dxa"/>
              <w:right w:w="70" w:type="dxa"/>
            </w:tcMar>
          </w:tcPr>
          <w:p>
            <w:pPr>
              <w:jc w:val="center"/>
            </w:pPr>
            <w:r>
              <w:rPr>
                <w:sz w:val="16"/>
              </w:rPr>
              <w:t>0.25 [0.24]</w:t>
            </w:r>
          </w:p>
        </w:tc>
        <w:tc>
          <w:tcPr>
            <w:tcW w:type="dxa" w:w="1584"/>
            <w:shd w:val="clear" w:color="auto" w:fill="EFF6FF"/>
            <w:tcMar>
              <w:top w:w="50" w:type="dxa"/>
              <w:bottom w:w="50" w:type="dxa"/>
              <w:left w:w="70" w:type="dxa"/>
              <w:right w:w="70" w:type="dxa"/>
            </w:tcMar>
          </w:tcPr>
          <w:p>
            <w:pPr>
              <w:jc w:val="center"/>
            </w:pPr>
            <w:r>
              <w:rPr>
                <w:sz w:val="16"/>
              </w:rPr>
              <w:t>0.34 [0.31]</w:t>
            </w:r>
          </w:p>
        </w:tc>
        <w:tc>
          <w:tcPr>
            <w:tcW w:type="dxa" w:w="1440"/>
            <w:shd w:val="clear" w:color="auto" w:fill="EFF6FF"/>
            <w:tcMar>
              <w:top w:w="50" w:type="dxa"/>
              <w:bottom w:w="50" w:type="dxa"/>
              <w:left w:w="70" w:type="dxa"/>
              <w:right w:w="70" w:type="dxa"/>
            </w:tcMar>
          </w:tcPr>
          <w:p>
            <w:pPr>
              <w:jc w:val="center"/>
            </w:pPr>
            <w:r>
              <w:rPr>
                <w:b/>
                <w:color w:val="1D4ED8"/>
                <w:sz w:val="16"/>
              </w:rPr>
              <w:t>5.27x / 5.46x</w:t>
            </w:r>
          </w:p>
        </w:tc>
      </w:tr>
    </w:tbl>
    <w:p>
      <w:pPr>
        <w:spacing w:after="120"/>
      </w:pPr>
    </w:p>
    <w:p>
      <w:pPr>
        <w:jc w:val="center"/>
      </w:pPr>
    </w:p>
    <w:p>
      <w:r>
        <w:drawing>
          <wp:inline xmlns:a="http://schemas.openxmlformats.org/drawingml/2006/main" xmlns:pic="http://schemas.openxmlformats.org/drawingml/2006/picture">
            <wp:extent cx="5486400" cy="3526971"/>
            <wp:docPr id="2" name="Picture 2"/>
            <wp:cNvGraphicFramePr>
              <a:graphicFrameLocks noChangeAspect="1"/>
            </wp:cNvGraphicFramePr>
            <a:graphic>
              <a:graphicData uri="http://schemas.openxmlformats.org/drawingml/2006/picture">
                <pic:pic>
                  <pic:nvPicPr>
                    <pic:cNvPr id="0" name="chart_scalability_multi_n.png"/>
                    <pic:cNvPicPr/>
                  </pic:nvPicPr>
                  <pic:blipFill>
                    <a:blip r:embed="rId10"/>
                    <a:stretch>
                      <a:fillRect/>
                    </a:stretch>
                  </pic:blipFill>
                  <pic:spPr>
                    <a:xfrm>
                      <a:off x="0" y="0"/>
                      <a:ext cx="5486400" cy="3526971"/>
                    </a:xfrm>
                    <a:prstGeom prst="rect"/>
                  </pic:spPr>
                </pic:pic>
              </a:graphicData>
            </a:graphic>
          </wp:inline>
        </w:drawing>
      </w:r>
    </w:p>
    <w:p>
      <w:pPr>
        <w:jc w:val="center"/>
      </w:pPr>
      <w:r>
        <w:rPr>
          <w:b/>
          <w:sz w:val="18"/>
        </w:rPr>
        <w:t>Fig. 2. Scalability: Naive vs. Cheng et al. vs. BAMKS-D (m=3, 30 independent runs).</w:t>
      </w:r>
    </w:p>
    <w:p>
      <w:pPr>
        <w:keepNext/>
        <w:spacing w:before="160" w:after="40"/>
      </w:pPr>
      <w:r>
        <w:rPr>
          <w:rFonts w:ascii="Times New Roman" w:hAnsi="Times New Roman"/>
          <w:b/>
          <w:i/>
          <w:color w:val="1E293B"/>
          <w:sz w:val="21"/>
        </w:rPr>
        <w:t>B. Comparative Discussion</w:t>
      </w:r>
    </w:p>
    <w:p>
      <w:pPr>
        <w:spacing w:before="0" w:after="80" w:line="276" w:lineRule="auto"/>
        <w:jc w:val="both"/>
      </w:pPr>
      <w:r>
        <w:rPr>
          <w:rFonts w:ascii="Times New Roman" w:hAnsi="Times New Roman"/>
          <w:sz w:val="20"/>
        </w:rPr>
        <w:t>Evaluating pure index updates, Cheng et al. is faster for L &lt;= 500 because computing modular multiplications takes less CPU time than modular exponentiations. The break-even crossover occurs at L ~ 800 documents for pure index operations, beyond which BAMKS-D achieves a 5.27x speedup at L = 5,000 files. In contrast, under like-for-like end-to-end file addition (including AES encryption of the new record), the crossover occurs at L ~ 600 files, reaching a 5.46x speedup over Cheng et al. and a 724.0x speedup over naive full re-encryption (243.6 ms).</w:t>
      </w:r>
    </w:p>
    <w:p>
      <w:pPr>
        <w:keepNext/>
        <w:spacing w:before="280" w:after="80"/>
      </w:pPr>
      <w:r>
        <w:rPr>
          <w:rFonts w:ascii="Times New Roman" w:hAnsi="Times New Roman"/>
          <w:b/>
          <w:color w:val="0F172A"/>
          <w:sz w:val="24"/>
        </w:rPr>
        <w:t>VII. LIMITATIONS &amp; THREATS TO VALIDITY</w:t>
      </w:r>
    </w:p>
    <w:p>
      <w:pPr>
        <w:spacing w:before="0" w:after="80" w:line="276" w:lineRule="auto"/>
        <w:jc w:val="both"/>
      </w:pPr>
      <w:r>
        <w:rPr>
          <w:rFonts w:ascii="Times New Roman" w:hAnsi="Times New Roman"/>
          <w:sz w:val="20"/>
        </w:rPr>
        <w:t>To ensure complete academic transparency, we explicitly document the prototype limitations of this study:</w:t>
        <w:br/>
        <w:t>• Simulated Group Algebra: Field operations are evaluated in (Z_P*, *) using P = 2^256 - 2^32 - 977. This group has order P-1 (composite) and does not possess a bilinear map. Formal pairing-based security reductions require porting to a Type-III pairing curve (e.g., BN254).</w:t>
        <w:br/>
        <w:t>• Off-Chain Verification Scope: Aggregated Schnorr NIZK verification is executed off-chain by the edge or client node; the on-chain smart contract enforces non-revocation membership and query binding.</w:t>
        <w:br/>
        <w:t>• Deterministic Keyword Tokens: Keyword tokens are deterministic per keyword across documents. Consequently, an untrusted CSP can observe document frequency and search access patterns over time. Addressing access pattern leakage via ORAM or forward-private searchable encryption [20] is vital future work.</w:t>
        <w:br/>
        <w:t>• Access Control Model: registerDocument permits multi-owner document onboarding without whitelist gating; deleteDocument is restricted to document owners or the contract administrator.</w:t>
        <w:br/>
        <w:t>• Local vs. On-Chain Latency: Local state flag updates take &lt; 0.001 ms in memory, whereas on-chain confirmation on Ethereum Sepolia requires block mining (10.37 s confirmation for deletion; 13.71 s for registration).</w:t>
      </w:r>
    </w:p>
    <w:p>
      <w:pPr>
        <w:keepNext/>
        <w:spacing w:before="280" w:after="80"/>
      </w:pPr>
      <w:r>
        <w:rPr>
          <w:rFonts w:ascii="Times New Roman" w:hAnsi="Times New Roman"/>
          <w:b/>
          <w:color w:val="0F172A"/>
          <w:sz w:val="24"/>
        </w:rPr>
        <w:t>VIII. CONCLUSION</w:t>
      </w:r>
    </w:p>
    <w:p>
      <w:pPr>
        <w:spacing w:before="0" w:after="80" w:line="276" w:lineRule="auto"/>
        <w:jc w:val="both"/>
      </w:pPr>
      <w:r>
        <w:rPr>
          <w:rFonts w:ascii="Times New Roman" w:hAnsi="Times New Roman"/>
          <w:sz w:val="20"/>
        </w:rPr>
        <w:t>This paper presented BAMKS-D, an algorithmic prototype and architecture integration layer addressing the dynamic file update challenge in blockchain-assisted ABKS. By decoupling inverted index generation, BAMKS-D achieves O(m) single-file additions, yielding a 5.27x pure index speedup (and 5.46x full add speedup) over Cheng et al. Section 5.10 index updates at L=5,000 files (and 724.0x over naive re-encryption). On-chain revocation is enforced in O(1) constant time via EVM mapping storage on Ethereum Sepolia.</w:t>
      </w:r>
    </w:p>
    <w:p>
      <w:pPr>
        <w:keepNext/>
        <w:spacing w:before="280" w:after="80"/>
      </w:pPr>
      <w:r>
        <w:rPr>
          <w:rFonts w:ascii="Times New Roman" w:hAnsi="Times New Roman"/>
          <w:b/>
          <w:color w:val="0F172A"/>
          <w:sz w:val="24"/>
        </w:rPr>
        <w:t>IX. DATA AND CODE AVAILABILITY</w:t>
      </w:r>
    </w:p>
    <w:p>
      <w:pPr>
        <w:spacing w:before="0" w:after="80" w:line="276" w:lineRule="auto"/>
        <w:jc w:val="both"/>
      </w:pPr>
      <w:r>
        <w:rPr>
          <w:rFonts w:ascii="Times New Roman" w:hAnsi="Times New Roman"/>
          <w:sz w:val="20"/>
        </w:rPr>
        <w:t>Complete reproducible source code, Solidity contracts, clinical sample datasets, and benchmark scripts are openly available on GitHub at: https://github.com/Prashant8991/BAMKS.git. Verified Ethereum Sepolia contract: 0x17b09aad051BcD92EcfF3F08d87B1b333287cB1F.</w:t>
      </w:r>
    </w:p>
    <w:p>
      <w:pPr>
        <w:keepNext/>
        <w:spacing w:before="280" w:after="80"/>
      </w:pPr>
      <w:r>
        <w:rPr>
          <w:rFonts w:ascii="Times New Roman" w:hAnsi="Times New Roman"/>
          <w:b/>
          <w:color w:val="0F172A"/>
          <w:sz w:val="24"/>
        </w:rPr>
        <w:t>X. AUTHOR CONTRIBUTIONS</w:t>
      </w:r>
    </w:p>
    <w:p>
      <w:pPr>
        <w:spacing w:before="0" w:after="80" w:line="276" w:lineRule="auto"/>
        <w:jc w:val="both"/>
      </w:pPr>
      <w:r>
        <w:rPr>
          <w:rFonts w:ascii="Times New Roman" w:hAnsi="Times New Roman"/>
          <w:sz w:val="20"/>
        </w:rPr>
        <w:t>Prashant Singh: Conceptualization, cryptographic protocol simulation, dynamic index algorithms, REST API, benchmarking, manuscript writing.</w:t>
        <w:br/>
        <w:t>Rushikesh Adak: Solidity smart contract engineering, EVM opcode analysis, Sepolia testnet deployment, Web3 integration.</w:t>
      </w:r>
    </w:p>
    <w:p>
      <w:pPr>
        <w:keepNext/>
        <w:spacing w:before="280" w:after="80"/>
      </w:pPr>
      <w:r>
        <w:rPr>
          <w:rFonts w:ascii="Times New Roman" w:hAnsi="Times New Roman"/>
          <w:b/>
          <w:color w:val="0F172A"/>
          <w:sz w:val="24"/>
        </w:rPr>
        <w:t>XI. REFERENCES</w:t>
      </w:r>
    </w:p>
    <w:p>
      <w:pPr>
        <w:spacing w:before="0" w:after="40"/>
        <w:ind w:left="360" w:hanging="360"/>
      </w:pPr>
      <w:r>
        <w:rPr>
          <w:rFonts w:ascii="Times New Roman" w:hAnsi="Times New Roman"/>
          <w:sz w:val="17"/>
        </w:rPr>
        <w:t>[1] H. Cheng, S.-L. Lo, and J. Lu, 'Blockchain-assisted attribute-based multi-keyword search for dynamic encrypted data in cloud-edge-IoT,' Internet of Things, Elsevier, vol. 36, Art. no. 101838, 2026. DOI: 10.1016/j.iot.2025.101838.</w:t>
      </w:r>
    </w:p>
    <w:p>
      <w:pPr>
        <w:spacing w:before="0" w:after="40"/>
        <w:ind w:left="360" w:hanging="360"/>
      </w:pPr>
      <w:r>
        <w:rPr>
          <w:rFonts w:ascii="Times New Roman" w:hAnsi="Times New Roman"/>
          <w:sz w:val="17"/>
        </w:rPr>
        <w:t>[2] D. Gupta, S. Rani, S. Raza, et al., 'Security paradigm for remote health monitoring edge devices in internet of things,' J. King Saud Univ. Comput. Inf. Sci., vol. 35, no. 6, p. 101478, 2023. DOI: 10.1016/j.jksuci.2023.101478.</w:t>
      </w:r>
    </w:p>
    <w:p>
      <w:pPr>
        <w:spacing w:before="0" w:after="40"/>
        <w:ind w:left="360" w:hanging="360"/>
      </w:pPr>
      <w:r>
        <w:rPr>
          <w:rFonts w:ascii="Times New Roman" w:hAnsi="Times New Roman"/>
          <w:sz w:val="17"/>
        </w:rPr>
        <w:t>[3] D. Dhinakaran, N. J. Kumar, N. P. Ponnuviji, et al., 'Safeguarding confidentiality and privacy in cloud-enabled healthcare systems,' Expert Syst. Appl., vol. 279, p. 127584, 2025. DOI: 10.1016/j.eswa.2025.127584.</w:t>
      </w:r>
    </w:p>
    <w:p>
      <w:pPr>
        <w:spacing w:before="0" w:after="40"/>
        <w:ind w:left="360" w:hanging="360"/>
      </w:pPr>
      <w:r>
        <w:rPr>
          <w:rFonts w:ascii="Times New Roman" w:hAnsi="Times New Roman"/>
          <w:sz w:val="17"/>
        </w:rPr>
        <w:t>[4] V. Janarthanan, T. Annamalai, M. Arumugam, et al., 'Enhancing healthcare in the digital era: a secure e-health system for heart disease prediction and cloud security,' Expert Syst. Appl., vol. 255, 2024, Art. no. 124479. DOI: 10.1016/j.eswa.2024.124479.</w:t>
      </w:r>
    </w:p>
    <w:p>
      <w:pPr>
        <w:spacing w:before="0" w:after="40"/>
        <w:ind w:left="360" w:hanging="360"/>
      </w:pPr>
      <w:r>
        <w:rPr>
          <w:rFonts w:ascii="Times New Roman" w:hAnsi="Times New Roman"/>
          <w:sz w:val="17"/>
        </w:rPr>
        <w:t>[5] D. Zhang, S. Wang, Q. Zhang, and Y. Zhang, 'Attribute based conjunctive keywords search with verifiability and fair payment using blockchain,' IEEE Trans. Serv. Comput., vol. 16, no. 6, pp. 4168–4182, 2023. DOI: 10.1109/TSC.2023.3308170.</w:t>
      </w:r>
    </w:p>
    <w:p>
      <w:pPr>
        <w:spacing w:before="0" w:after="40"/>
        <w:ind w:left="360" w:hanging="360"/>
      </w:pPr>
      <w:r>
        <w:rPr>
          <w:rFonts w:ascii="Times New Roman" w:hAnsi="Times New Roman"/>
          <w:sz w:val="17"/>
        </w:rPr>
        <w:t>[6] Q. Zheng, S. Xu, and G. Ateniese, 'VABKS: Verifiable attribute-based keyword search over outsourced encrypted data,' in Proc. IEEE INFOCOM 2014, 2014, pp. 522–530. DOI: 10.1109/INFOCOM.2014.6848198.</w:t>
      </w:r>
    </w:p>
    <w:p>
      <w:pPr>
        <w:spacing w:before="0" w:after="40"/>
        <w:ind w:left="360" w:hanging="360"/>
      </w:pPr>
      <w:r>
        <w:rPr>
          <w:rFonts w:ascii="Times New Roman" w:hAnsi="Times New Roman"/>
          <w:sz w:val="17"/>
        </w:rPr>
        <w:t>[7] D. Boneh, G. Di Crescenzo, R. Ostrovsky, and G. Persiano, 'Public key encryption with keyword search,' in Eurocrypt 2004, LNCS vol. 3027, Springer, 2004, pp. 506–522. DOI: 10.1007/978-3-540-24676-3_30.</w:t>
      </w:r>
    </w:p>
    <w:p>
      <w:pPr>
        <w:spacing w:before="0" w:after="40"/>
        <w:ind w:left="360" w:hanging="360"/>
      </w:pPr>
      <w:r>
        <w:rPr>
          <w:rFonts w:ascii="Times New Roman" w:hAnsi="Times New Roman"/>
          <w:sz w:val="17"/>
        </w:rPr>
        <w:t>[8] J. Bethencourt, A. Sahai, and B. Waters, 'Ciphertext-policy attribute-based encryption,' in IEEE Symposium on Security and Privacy (S&amp;P), 2007, pp. 321–334. DOI: 10.1109/SP.2007.11.</w:t>
      </w:r>
    </w:p>
    <w:p>
      <w:pPr>
        <w:spacing w:before="0" w:after="40"/>
        <w:ind w:left="360" w:hanging="360"/>
      </w:pPr>
      <w:r>
        <w:rPr>
          <w:rFonts w:ascii="Times New Roman" w:hAnsi="Times New Roman"/>
          <w:sz w:val="17"/>
        </w:rPr>
        <w:t>[9] A. Sahai and B. Waters, 'Fuzzy identity-based encryption,' in Eurocrypt 2005, LNCS vol. 3494, Springer, 2005, pp. 457–473. DOI: 10.1007/11426639_27.</w:t>
      </w:r>
    </w:p>
    <w:p>
      <w:pPr>
        <w:spacing w:before="0" w:after="40"/>
        <w:ind w:left="360" w:hanging="360"/>
      </w:pPr>
      <w:r>
        <w:rPr>
          <w:rFonts w:ascii="Times New Roman" w:hAnsi="Times New Roman"/>
          <w:sz w:val="17"/>
        </w:rPr>
        <w:t>[10] B. Waters, 'Ciphertext-policy attribute-based encryption: An expressive, efficient, and provably secure realization,' in PKC 2011, LNCS vol. 6571, Springer, 2011, pp. 53–70. DOI: 10.1007/978-3-642-19377-4_4.</w:t>
      </w:r>
    </w:p>
    <w:p>
      <w:pPr>
        <w:spacing w:before="0" w:after="40"/>
        <w:ind w:left="360" w:hanging="360"/>
      </w:pPr>
      <w:r>
        <w:rPr>
          <w:rFonts w:ascii="Times New Roman" w:hAnsi="Times New Roman"/>
          <w:sz w:val="17"/>
        </w:rPr>
        <w:t>[11] V. Goyal, O. Pandey, A. Sahai, and B. Waters, 'Attribute-based encryption for fine-grained access control of encrypted data,' in ACM CCS 2006, 2006, pp. 89–98. DOI: 10.1145/1180405.1180418.</w:t>
      </w:r>
    </w:p>
    <w:p>
      <w:pPr>
        <w:spacing w:before="0" w:after="40"/>
        <w:ind w:left="360" w:hanging="360"/>
      </w:pPr>
      <w:r>
        <w:rPr>
          <w:rFonts w:ascii="Times New Roman" w:hAnsi="Times New Roman"/>
          <w:sz w:val="17"/>
        </w:rPr>
        <w:t>[12] R. Ostrovsky, A. Sahai, and B. Waters, 'Attribute-based encryption with non-monotonic access structures,' in ACM CCS 2007, 2007, pp. 195–203. DOI: 10.1145/1315245.1315270.</w:t>
      </w:r>
    </w:p>
    <w:p>
      <w:pPr>
        <w:spacing w:before="0" w:after="40"/>
        <w:ind w:left="360" w:hanging="360"/>
      </w:pPr>
      <w:r>
        <w:rPr>
          <w:rFonts w:ascii="Times New Roman" w:hAnsi="Times New Roman"/>
          <w:sz w:val="17"/>
        </w:rPr>
        <w:t>[13] M. Chase, 'Multi-authority attribute based encryption,' in TCC 2007, LNCS vol. 4392, Springer, 2007, pp. 515–534. DOI: 10.1007/978-3-540-70936-7_28.</w:t>
      </w:r>
    </w:p>
    <w:p>
      <w:pPr>
        <w:spacing w:before="0" w:after="40"/>
        <w:ind w:left="360" w:hanging="360"/>
      </w:pPr>
      <w:r>
        <w:rPr>
          <w:rFonts w:ascii="Times New Roman" w:hAnsi="Times New Roman"/>
          <w:sz w:val="17"/>
        </w:rPr>
        <w:t>[14] A. Lewko and B. Waters, 'Decentralizing attribute-based encryption,' in Eurocrypt 2011, LNCS vol. 6632, Springer, 2011, pp. 568–588. DOI: 10.1007/978-3-642-20465-4_31.</w:t>
      </w:r>
    </w:p>
    <w:p>
      <w:pPr>
        <w:spacing w:before="0" w:after="40"/>
        <w:ind w:left="360" w:hanging="360"/>
      </w:pPr>
      <w:r>
        <w:rPr>
          <w:rFonts w:ascii="Times New Roman" w:hAnsi="Times New Roman"/>
          <w:sz w:val="17"/>
        </w:rPr>
        <w:t>[15] J. Katz, A. Sahai, and B. Waters, 'Predicate encryption supporting disjunctions, polynomial equations, and inner products,' J. Cryptology, vol. 26, no. 2, pp. 191–224, 2013. DOI: 10.1007/s00145-012-9119-4.</w:t>
      </w:r>
    </w:p>
    <w:p>
      <w:pPr>
        <w:spacing w:before="0" w:after="40"/>
        <w:ind w:left="360" w:hanging="360"/>
      </w:pPr>
      <w:r>
        <w:rPr>
          <w:rFonts w:ascii="Times New Roman" w:hAnsi="Times New Roman"/>
          <w:sz w:val="17"/>
        </w:rPr>
        <w:t>[16] C. P. Schnorr, 'Efficient signature generation by smart cards,' Journal of Cryptology, vol. 4, no. 3, pp. 161–174, 1991. DOI: 10.1007/BF00196725.</w:t>
      </w:r>
    </w:p>
    <w:p>
      <w:pPr>
        <w:spacing w:before="0" w:after="40"/>
        <w:ind w:left="360" w:hanging="360"/>
      </w:pPr>
      <w:r>
        <w:rPr>
          <w:rFonts w:ascii="Times New Roman" w:hAnsi="Times New Roman"/>
          <w:sz w:val="17"/>
        </w:rPr>
        <w:t>[17] D. X. Song, D. Wagner, and A. Perrig, 'Practical techniques for searches on encrypted data,' in IEEE Symposium on Security and Privacy (S&amp;P), 2000, pp. 44–55. DOI: 10.1109/SECPRI.2000.848445.</w:t>
      </w:r>
    </w:p>
    <w:p>
      <w:pPr>
        <w:spacing w:before="0" w:after="40"/>
        <w:ind w:left="360" w:hanging="360"/>
      </w:pPr>
      <w:r>
        <w:rPr>
          <w:rFonts w:ascii="Times New Roman" w:hAnsi="Times New Roman"/>
          <w:sz w:val="17"/>
        </w:rPr>
        <w:t>[18] R. Curtmola, J. Garay, S. Kamara, and R. Ostrovsky, 'Searchable symmetric encryption: Improved definitions and efficient constructions,' J. Comput. Secur., vol. 19, no. 5, pp. 895–934, 2011. DOI: 10.3233/JCS-2011-0426.</w:t>
      </w:r>
    </w:p>
    <w:p>
      <w:pPr>
        <w:spacing w:before="0" w:after="40"/>
        <w:ind w:left="360" w:hanging="360"/>
      </w:pPr>
      <w:r>
        <w:rPr>
          <w:rFonts w:ascii="Times New Roman" w:hAnsi="Times New Roman"/>
          <w:sz w:val="17"/>
        </w:rPr>
        <w:t>[19] S. Kamara, C. Papamanthou, and T. Roeder, 'Dynamic searchable symmetric encryption,' in ACM CCS 2012, 2012, pp. 965–976. DOI: 10.1145/2382196.2382298.</w:t>
      </w:r>
    </w:p>
    <w:p>
      <w:pPr>
        <w:spacing w:before="0" w:after="40"/>
        <w:ind w:left="360" w:hanging="360"/>
      </w:pPr>
      <w:r>
        <w:rPr>
          <w:rFonts w:ascii="Times New Roman" w:hAnsi="Times New Roman"/>
          <w:sz w:val="17"/>
        </w:rPr>
        <w:t>[20] R. Bost, 'Sigma o phi o varsigma: Forward secure searchable encryption,' in ACM CCS 2016, 2016, pp. 1143–1154. DOI: 10.1145/2976749.2978342.</w:t>
      </w:r>
    </w:p>
    <w:p>
      <w:pPr>
        <w:spacing w:before="0" w:after="40"/>
        <w:ind w:left="360" w:hanging="360"/>
      </w:pPr>
      <w:r>
        <w:rPr>
          <w:rFonts w:ascii="Times New Roman" w:hAnsi="Times New Roman"/>
          <w:sz w:val="17"/>
        </w:rPr>
        <w:t>[21] C. Delerablée, P. Paillier, and D. Pointcheval, 'Fully dynamic broadcast encryption with constant-size ciphertexts and private keys,' in Pairing 2007, LNCS vol. 4575, Springer, 2007, pp. 190–207. DOI: 10.1007/978-3-540-73489-5_11.</w:t>
      </w:r>
    </w:p>
    <w:p>
      <w:pPr>
        <w:spacing w:before="0" w:after="40"/>
        <w:ind w:left="360" w:hanging="360"/>
      </w:pPr>
      <w:r>
        <w:rPr>
          <w:rFonts w:ascii="Times New Roman" w:hAnsi="Times New Roman"/>
          <w:sz w:val="17"/>
        </w:rPr>
        <w:t>[22] G. Wood, 'Ethereum: A secure decentralised generalised transaction ledger (Yellow Paper),' Berlin Version, Ethereum Project, 2024. [Online]. Available: https://ethereum.github.io/yellowpaper/paper.pdf</w:t>
      </w:r>
    </w:p>
    <w:p>
      <w:pPr>
        <w:spacing w:before="0" w:after="40"/>
        <w:ind w:left="360" w:hanging="360"/>
      </w:pPr>
      <w:r>
        <w:rPr>
          <w:rFonts w:ascii="Times New Roman" w:hAnsi="Times New Roman"/>
          <w:sz w:val="17"/>
        </w:rPr>
        <w:t>[23] J. Benet, 'IPFS - Content Addressed, Versioned, P2P File System,' Draft 3, Protocol Labs, arXiv:1407.3561, 2014.</w:t>
      </w:r>
    </w:p>
    <w:p>
      <w:pPr>
        <w:spacing w:before="0" w:after="40"/>
        <w:ind w:left="360" w:hanging="360"/>
      </w:pPr>
      <w:r>
        <w:rPr>
          <w:rFonts w:ascii="Times New Roman" w:hAnsi="Times New Roman"/>
          <w:sz w:val="17"/>
        </w:rPr>
        <w:t>[24] J. Liu, Y. Li, R. Sun, et al., 'EMK-ABSE: Efficient multikeyword attribute-based searchable encryption scheme through cloud-edge coordination,' IEEE Internet of Things J., vol. 9, no. 19, pp. 18650–18662, 2022. DOI: 10.1109/JIOT.2022.3164478.</w:t>
      </w:r>
    </w:p>
    <w:p>
      <w:pPr>
        <w:spacing w:before="0" w:after="40"/>
        <w:ind w:left="360" w:hanging="360"/>
      </w:pPr>
      <w:r>
        <w:rPr>
          <w:rFonts w:ascii="Times New Roman" w:hAnsi="Times New Roman"/>
          <w:sz w:val="17"/>
        </w:rPr>
        <w:t>[25] J. Su, L. Zhang, and Y. Mu, 'BA-RMKABSE: Blockchain-aided ranked multi-keyword attribute-based searchable encryption with hiding policy for smart health system,' Future Gener. Comput. Syst., vol. 132, pp. 299–309, 2022. DOI: 10.1016/j.future.2022.02.019.</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