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jc w:val="center"/>
      </w:pPr>
      <w:r>
        <w:rPr>
          <w:rFonts w:ascii="Times New Roman" w:hAnsi="Times New Roman"/>
          <w:b/>
          <w:sz w:val="36"/>
        </w:rPr>
        <w:t>Enabling Dynamic File-Level Operations in Blockchain-Assisted Attribute-Based Multi-Keyword Search for Cloud-Edge-IoT</w:t>
      </w:r>
    </w:p>
    <w:p>
      <w:pPr>
        <w:spacing w:before="0" w:after="240"/>
        <w:jc w:val="center"/>
      </w:pPr>
      <w:r>
        <w:rPr>
          <w:rFonts w:ascii="Times New Roman" w:hAnsi="Times New Roman"/>
          <w:b/>
          <w:sz w:val="22"/>
        </w:rPr>
        <w:t>Prashant Singh (Reg. No: 24BYB1042)   |   Rushikesh Adak (Reg. No: 24BYB1055)</w:t>
        <w:br/>
      </w:r>
      <w:r>
        <w:rPr>
          <w:rFonts w:ascii="Times New Roman" w:hAnsi="Times New Roman"/>
          <w:sz w:val="20"/>
        </w:rPr>
        <w:t>School of Computer Science and Engineering, Vellore Institute of Technology (VIT), Chennai, Tamil Nadu, India</w:t>
        <w:br/>
      </w:r>
      <w:r>
        <w:rPr>
          <w:rFonts w:ascii="Times New Roman" w:hAnsi="Times New Roman"/>
          <w:i/>
          <w:color w:val="475569"/>
          <w:sz w:val="19"/>
        </w:rPr>
        <w:t>Academic Guide: Prof. Karthika V | Course: Cryptography and Network Security (BCSE309L)</w:t>
        <w:br/>
      </w:r>
    </w:p>
    <w:tbl>
      <w:tblPr>
        <w:tblW w:type="auto" w:w="0"/>
        <w:jc w:val="center"/>
        <w:tblLook w:firstColumn="1" w:firstRow="1" w:lastColumn="0" w:lastRow="0" w:noHBand="0" w:noVBand="1" w:val="04A0"/>
      </w:tblPr>
      <w:tblGrid>
        <w:gridCol w:w="10080"/>
      </w:tblGrid>
      <w:tr>
        <w:tc>
          <w:tcPr>
            <w:tcW w:type="dxa" w:w="10080"/>
            <w:shd w:val="clear" w:color="auto" w:fill="F1F5F9"/>
            <w:tcMar>
              <w:top w:w="140" w:type="dxa"/>
              <w:bottom w:w="140" w:type="dxa"/>
              <w:left w:w="200" w:type="dxa"/>
              <w:right w:w="200" w:type="dxa"/>
            </w:tcMar>
          </w:tcPr>
          <w:p>
            <w:pPr>
              <w:spacing w:line="276" w:lineRule="auto" w:after="120"/>
            </w:pPr>
            <w:r>
              <w:rPr>
                <w:rFonts w:ascii="Times New Roman" w:hAnsi="Times New Roman"/>
                <w:b/>
                <w:sz w:val="19"/>
              </w:rPr>
              <w:t xml:space="preserve">Abstract— </w:t>
            </w:r>
            <w:r>
              <w:rPr>
                <w:rFonts w:ascii="Times New Roman" w:hAnsi="Times New Roman"/>
                <w:sz w:val="19"/>
              </w:rPr>
              <w:t>Outsourcing encrypted Electronic Health Records (EHRs) to cloud-edge storage repositories substantially reduces hospital capital infrastructure expenses but severely impairs keyword searchability and introduces major data privacy challenges. In recent state-of-the-art literature, Cheng et al. (Elsevier Internet of Things, 2026) proposed BAMKS (Blockchain-assisted Attribute-based Multi-Keyword Search), unifying Ciphertext-Policy Attribute-Based Encryption (CP-ABE) and smart-contract verification to achieve secure conjunctive search over dynamic outsourced data. However, as explicitly acknowledged in Section 8 of the base paper, BAMKS operates strictly on monolithic file collection versions: adding, deleting, or updating a single file forces a full re-keying of all L files across m keywords, incurring a prohibitive O(L * m) computational overhead. To resolve this fundamental research gap, we propose, implement, and deploy BAMKS-D (Dynamic). BAMKS-D introduces fine-grained file-level granularity via three atomic primitives: (1) SingleDocAdd with O(m) complexity, (2) SingleDocDelete with O(1) constant-time revocation enforced via a Solidity state mapping on the Ethereum Sepolia Testnet, and (3) SingleDocModify via atomic revoke-and-append. We demonstrate that our scheme eliminates collection-wide re-keying, providing up to a 3,610.7x speedup at L=5,000 files over the base paper baseline. Furthermore, outsourced ciphertexts are pinned directly to decentralized IPFS via Pinata, achieving zero-trust verifiability, robust access control, and complete mathematical soundness.</w:t>
            </w:r>
          </w:p>
          <w:p>
            <w:pPr>
              <w:spacing w:before="80" w:after="40"/>
            </w:pPr>
            <w:r>
              <w:rPr>
                <w:rFonts w:ascii="Times New Roman" w:hAnsi="Times New Roman"/>
                <w:b/>
                <w:sz w:val="19"/>
              </w:rPr>
              <w:t xml:space="preserve">Keywords— </w:t>
            </w:r>
            <w:r>
              <w:rPr>
                <w:rFonts w:ascii="Times New Roman" w:hAnsi="Times New Roman"/>
                <w:sz w:val="19"/>
              </w:rPr>
              <w:t>Searchable Encryption, Attribute-Based Encryption, Blockchain, Smart Contracts, Dynamic Updates, Cloud-Edge Computing, Healthcare IoT, IPFS.</w:t>
            </w:r>
          </w:p>
        </w:tc>
      </w:tr>
    </w:tbl>
    <w:p>
      <w:pPr>
        <w:spacing w:before="80" w:after="160"/>
      </w:pPr>
    </w:p>
    <w:p>
      <w:pPr>
        <w:spacing w:before="280" w:after="80"/>
      </w:pPr>
      <w:r>
        <w:rPr>
          <w:rFonts w:ascii="Times New Roman" w:hAnsi="Times New Roman"/>
          <w:b/>
          <w:color w:val="0F172A"/>
          <w:sz w:val="23"/>
        </w:rPr>
        <w:t>I.  INTRODUCTION</w:t>
      </w:r>
    </w:p>
    <w:p>
      <w:pPr>
        <w:spacing w:before="200" w:after="60"/>
      </w:pPr>
      <w:r>
        <w:rPr>
          <w:rFonts w:ascii="Times New Roman" w:hAnsi="Times New Roman"/>
          <w:b/>
          <w:color w:val="1E293B"/>
          <w:sz w:val="21"/>
        </w:rPr>
        <w:t>A.  Context and Motivation</w:t>
      </w:r>
    </w:p>
    <w:p>
      <w:pPr>
        <w:spacing w:before="40" w:after="80" w:line="276" w:lineRule="auto"/>
      </w:pPr>
      <w:r>
        <w:rPr>
          <w:rFonts w:ascii="Times New Roman" w:hAnsi="Times New Roman"/>
          <w:sz w:val="20"/>
        </w:rPr>
        <w:t>The rapid convergence of edge intelligence, cloud computing architectures, and the Internet of Medical Things (IoMT) has fundamentally transformed contemporary healthcare delivery. Modern healthcare facilities generate continuous streams of high-resolution Electronic Health Records (EHRs)—including continuous 12-lead electrocardiograms (ECGs), magnetic resonance imaging (MRI) volumetrics, oncology histopathology biopsies, and intensive care unit (ICU) telemetry feeds. Outsourcing these massive datasets to third-party Cloud Storage Providers (CSPs) relieves hospitals of enormous on-premises server maintenance and disaster recovery costs. However, because EHRs contain deeply sensitive diagnostic and genetic indicators protected by strict regulatory statutes such as the Health Insurance Portability and Accountability Act (HIPAA) in the United States and the General Data Protection Regulation (GDPR) in the European Union, patient files must be encrypted prior to cloud outsourcing.</w:t>
      </w:r>
    </w:p>
    <w:p>
      <w:pPr>
        <w:spacing w:before="200" w:after="60"/>
      </w:pPr>
      <w:r>
        <w:rPr>
          <w:rFonts w:ascii="Times New Roman" w:hAnsi="Times New Roman"/>
          <w:b/>
          <w:color w:val="1E293B"/>
          <w:sz w:val="21"/>
        </w:rPr>
        <w:t>B.  The Conflict Between Encryption and Searchability</w:t>
      </w:r>
    </w:p>
    <w:p>
      <w:pPr>
        <w:spacing w:before="40" w:after="80" w:line="276" w:lineRule="auto"/>
      </w:pPr>
      <w:r>
        <w:rPr>
          <w:rFonts w:ascii="Times New Roman" w:hAnsi="Times New Roman"/>
          <w:sz w:val="20"/>
        </w:rPr>
        <w:t>Applying standard symmetric encryption primitives, such as AES-256-GCM, transforms plaintext records into pseudorandom bitstreams. While this guarantees data confidentiality at rest, it completely destroys the internal algebraic structure necessary for keyword indexing. Consequently, when an emergency clinician or cardiologist needs to retrieve all patient files satisfying a compound query (e.g., 'Cardiology' AND 'ECG'), the cloud server cannot perform selective matching. The clinician is forced to download and decrypt the entire institutional database locally, creating massive network bandwidth congestion and unacceptable diagnostic latency. To resolve this tension, Searchable Encryption (SE) and Attribute-Based Keyword Search (ABKS) protocols were introduced.</w:t>
      </w:r>
    </w:p>
    <w:p>
      <w:pPr>
        <w:spacing w:before="200" w:after="60"/>
      </w:pPr>
      <w:r>
        <w:rPr>
          <w:rFonts w:ascii="Times New Roman" w:hAnsi="Times New Roman"/>
          <w:b/>
          <w:color w:val="1E293B"/>
          <w:sz w:val="21"/>
        </w:rPr>
        <w:t>C.  State of the Art: The Cheng et al. BAMKS Scheme</w:t>
      </w:r>
    </w:p>
    <w:p>
      <w:pPr>
        <w:spacing w:before="40" w:after="80" w:line="276" w:lineRule="auto"/>
      </w:pPr>
      <w:r>
        <w:rPr>
          <w:rFonts w:ascii="Times New Roman" w:hAnsi="Times New Roman"/>
          <w:sz w:val="20"/>
        </w:rPr>
        <w:t>In a prominent 2026 contribution published in Elsevier's Internet of Things, Cheng et al. introduced BAMKS (Blockchain-assisted Attribute-based Multi-Keyword Search). The BAMKS protocol combined three major cryptographic pillars: (1) collaborative multi-owner access token generation (Phi), (2) fine-grained Ciphertext-Policy Attribute-Based Encryption (CP-ABE) access trees over Linear Secret Sharing Schemes (LSSS), and (3) an Ethereum-based Result Verification Smart Contract (RVSC) validating search correctness through aggregated Schnorr Non-Interactive Zero-Knowledge (SNIZK) proofs. BAMKS represented a significant theoretical advance in verifying search integrity against semi-honest cloud service providers.</w:t>
      </w:r>
    </w:p>
    <w:p>
      <w:pPr>
        <w:spacing w:before="200" w:after="60"/>
      </w:pPr>
      <w:r>
        <w:rPr>
          <w:rFonts w:ascii="Times New Roman" w:hAnsi="Times New Roman"/>
          <w:b/>
          <w:color w:val="1E293B"/>
          <w:sz w:val="21"/>
        </w:rPr>
        <w:t>D.  Research Gap and Problem Formulation</w:t>
      </w:r>
    </w:p>
    <w:p>
      <w:pPr>
        <w:spacing w:before="40" w:after="80" w:line="276" w:lineRule="auto"/>
      </w:pPr>
      <w:r>
        <w:rPr>
          <w:rFonts w:ascii="Times New Roman" w:hAnsi="Times New Roman"/>
          <w:sz w:val="20"/>
        </w:rPr>
        <w:t>Despite its mathematical elegance, the base BAMKS protocol suffers from a severe, fundamental architectural constraint: it operates strictly on monolithic file collection versions. As formalized in Section 5.10 of Cheng et al., updating an encrypted dataset requires generating an index update factor X_upd = g^Delta, where Delta = (delta'_ver - delta_ver) / (xi'_ver - xi_ver) mod (P-1). To refresh the index, every single file token I_{kappa, j} across all L documents and m keywords must be multiplied by X_upd. Consequently, inserting a single newly admitted patient record, modifying an existing diagnosis, or revoking a discharged patient's record forces the hospital to execute a collection-wide re-keying over all L files, incurring an asymptotic computational complexity of O(L * m).</w:t>
      </w:r>
    </w:p>
    <w:p>
      <w:pPr>
        <w:spacing w:before="40" w:after="80" w:line="276" w:lineRule="auto"/>
      </w:pPr>
      <w:r>
        <w:rPr>
          <w:rFonts w:ascii="Times New Roman" w:hAnsi="Times New Roman"/>
          <w:sz w:val="20"/>
        </w:rPr>
        <w:t>In modern hospital environments where ICU telemetry feeds and emergency admissions arrive as continuous asynchronous streams, re-keying thousands of existing records for every file operation is computationally prohibitive. Cheng et al. explicitly acknowledged this limitation in Section 8 of their paper, stating: 'In the future, we plan to extend BAMKS to support time-sensitive data sharing with adding, deleting, and inserting operations.'</w:t>
      </w:r>
    </w:p>
    <w:p>
      <w:pPr>
        <w:spacing w:before="200" w:after="60"/>
      </w:pPr>
      <w:r>
        <w:rPr>
          <w:rFonts w:ascii="Times New Roman" w:hAnsi="Times New Roman"/>
          <w:b/>
          <w:color w:val="1E293B"/>
          <w:sz w:val="21"/>
        </w:rPr>
        <w:t>E.  Research Objectives &amp; Scientific Contributions</w:t>
      </w:r>
    </w:p>
    <w:p>
      <w:pPr>
        <w:spacing w:before="40" w:after="80" w:line="276" w:lineRule="auto"/>
      </w:pPr>
      <w:r>
        <w:rPr>
          <w:rFonts w:ascii="Times New Roman" w:hAnsi="Times New Roman"/>
          <w:sz w:val="20"/>
        </w:rPr>
        <w:t>To directly solve this open research challenge, this paper introduces, designs, and deploys BAMKS-D (Dynamic). Our primary contributions are:</w:t>
      </w:r>
    </w:p>
    <w:p>
      <w:pPr>
        <w:spacing w:before="40" w:after="80" w:line="276" w:lineRule="auto"/>
      </w:pPr>
      <w:r>
        <w:rPr>
          <w:rFonts w:ascii="Times New Roman" w:hAnsi="Times New Roman"/>
          <w:sz w:val="20"/>
        </w:rPr>
        <w:t>1. Direct Resolution of Base Paper Research Gap: We design the first atomic, file-level dynamic update mechanism for the BAMKS architecture, fulfilling the open problem posed in Section 8 of Cheng et al.</w:t>
      </w:r>
    </w:p>
    <w:p>
      <w:pPr>
        <w:spacing w:before="40" w:after="80" w:line="276" w:lineRule="auto"/>
      </w:pPr>
      <w:r>
        <w:rPr>
          <w:rFonts w:ascii="Times New Roman" w:hAnsi="Times New Roman"/>
          <w:sz w:val="20"/>
        </w:rPr>
        <w:t>2. Atomic Dynamic Ingestion (SingleDocAdd): We propose an atomic file addition primitive operating in O(m) time (~0.29 ms), appending individual document tokens without modifying or re-encrypting existing files.</w:t>
      </w:r>
    </w:p>
    <w:p>
      <w:pPr>
        <w:spacing w:before="40" w:after="80" w:line="276" w:lineRule="auto"/>
      </w:pPr>
      <w:r>
        <w:rPr>
          <w:rFonts w:ascii="Times New Roman" w:hAnsi="Times New Roman"/>
          <w:sz w:val="20"/>
        </w:rPr>
        <w:t>3. Instant On-Chain Revocation (SingleDocDelete): We introduce a document deletion mechanism achieving strict O(1) constant-time revocation via a Solidity state mapping on Ethereum Sepolia, consuming an invariant 42,100 gas units.</w:t>
      </w:r>
    </w:p>
    <w:p>
      <w:pPr>
        <w:spacing w:before="40" w:after="80" w:line="276" w:lineRule="auto"/>
      </w:pPr>
      <w:r>
        <w:rPr>
          <w:rFonts w:ascii="Times New Roman" w:hAnsi="Times New Roman"/>
          <w:sz w:val="20"/>
        </w:rPr>
        <w:t>4. Cryptographic Key Freshness: We eliminate key stagnation vulnerabilities by integrating fresh session randomness t into CP-ABE user key generation, ensuring genuine per-generation uniqueness.</w:t>
      </w:r>
    </w:p>
    <w:p>
      <w:pPr>
        <w:spacing w:before="40" w:after="80" w:line="276" w:lineRule="auto"/>
      </w:pPr>
      <w:r>
        <w:rPr>
          <w:rFonts w:ascii="Times New Roman" w:hAnsi="Times New Roman"/>
          <w:sz w:val="20"/>
        </w:rPr>
        <w:t>5. Full Web3 &amp; IPFS Production Deployment: We deploy the complete architecture with live smart contracts verified on the Ethereum Sepolia Testnet (0x3829bda65146D8fb0C2c6E2596F6A39936bF9DB5) and decentralized Pinata IPFS storage.</w:t>
      </w:r>
    </w:p>
    <w:p>
      <w:pPr>
        <w:spacing w:before="40" w:after="80" w:line="276" w:lineRule="auto"/>
      </w:pPr>
      <w:r>
        <w:rPr>
          <w:rFonts w:ascii="Times New Roman" w:hAnsi="Times New Roman"/>
          <w:sz w:val="20"/>
        </w:rPr>
        <w:t>6. Empirical Benchmark Validation: Extensive experiments over realistic clinical EHR datasets show that BAMKS-D achieves up to a 3,610.7x speedup over the base BAMKS protocol at L=5,000 files.</w:t>
      </w:r>
    </w:p>
    <w:p>
      <w:pPr>
        <w:spacing w:before="280" w:after="80"/>
      </w:pPr>
      <w:r>
        <w:rPr>
          <w:rFonts w:ascii="Times New Roman" w:hAnsi="Times New Roman"/>
          <w:b/>
          <w:color w:val="0F172A"/>
          <w:sz w:val="23"/>
        </w:rPr>
        <w:t>II.  RELATED WORK</w:t>
      </w:r>
    </w:p>
    <w:p>
      <w:pPr>
        <w:spacing w:before="40" w:after="80" w:line="276" w:lineRule="auto"/>
      </w:pPr>
      <w:r>
        <w:rPr>
          <w:rFonts w:ascii="Times New Roman" w:hAnsi="Times New Roman"/>
          <w:sz w:val="20"/>
        </w:rPr>
        <w:t>Searchable Encryption was pioneered by Song et al. in the symmetric setting and by Boneh et al. in the asymmetric public-key setting (PEKS). Early PEKS schemes supported only single-keyword queries and were vulnerable to inside Keyword Guessing Attacks (KGA). To enable expressive access control, Sahai and Waters introduced Attribute-Based Encryption (ABE), which was subsequently extended to Ciphertext-Policy ABE (CP-ABE) by Bethencourt, Sahai, and Waters. Waters further formalized expressive CP-ABE using Linear Secret Sharing Schemes (LSSS), enabling efficient linear algebraic share evaluation.</w:t>
      </w:r>
    </w:p>
    <w:p>
      <w:pPr>
        <w:spacing w:before="40" w:after="80" w:line="276" w:lineRule="auto"/>
      </w:pPr>
      <w:r>
        <w:rPr>
          <w:rFonts w:ascii="Times New Roman" w:hAnsi="Times New Roman"/>
          <w:sz w:val="20"/>
        </w:rPr>
        <w:t>Attribute-Based Keyword Search (ABKS) combined CP-ABE access policies with encrypted inverted indices. To address the problem of dishonest cloud servers returning incomplete search results, blockchain-assisted searchable encryption emerged. Cheng et al. introduced BAMKS, using an Ethereum smart contract (RVSC) to verify search results via aggregated Schnorr NIZK proofs. Table I compares BAMKS-D with prominent schemes across eight functional dimensions.</w:t>
      </w:r>
    </w:p>
    <w:p>
      <w:pPr>
        <w:spacing w:before="160" w:after="40"/>
        <w:jc w:val="center"/>
      </w:pPr>
      <w:r>
        <w:rPr>
          <w:b/>
          <w:sz w:val="19"/>
        </w:rPr>
        <w:t>TABLE I: COMPREHENSIVE COMPARISON OF SEARCHABLE ENCRYPTION SCHEMES</w:t>
      </w:r>
    </w:p>
    <w:tbl>
      <w:tblPr>
        <w:tblW w:type="auto" w:w="0"/>
        <w:jc w:val="center"/>
        <w:tblLayout w:type="fixed"/>
        <w:tblLook w:firstColumn="1" w:firstRow="1" w:lastColumn="0" w:lastRow="0" w:noHBand="0" w:noVBand="1" w:val="04A0"/>
      </w:tblPr>
      <w:tblGrid>
        <w:gridCol w:w="1680"/>
        <w:gridCol w:w="1680"/>
        <w:gridCol w:w="1680"/>
        <w:gridCol w:w="1680"/>
        <w:gridCol w:w="1680"/>
        <w:gridCol w:w="1680"/>
      </w:tblGrid>
      <w:tr>
        <w:tc>
          <w:tcPr>
            <w:tcW w:type="dxa" w:w="2592"/>
            <w:shd w:val="clear" w:color="auto" w:fill="1E293B"/>
            <w:tcMar>
              <w:top w:w="80" w:type="dxa"/>
              <w:bottom w:w="80" w:type="dxa"/>
              <w:left w:w="100" w:type="dxa"/>
              <w:right w:w="100" w:type="dxa"/>
            </w:tcMar>
          </w:tcPr>
          <w:p>
            <w:pPr>
              <w:jc w:val="center"/>
            </w:pPr>
            <w:r>
              <w:rPr>
                <w:rFonts w:ascii="Times New Roman" w:hAnsi="Times New Roman"/>
                <w:b/>
                <w:color w:val="FFFFFF"/>
                <w:sz w:val="17"/>
              </w:rPr>
              <w:t>Scheme / Reference</w:t>
            </w:r>
          </w:p>
        </w:tc>
        <w:tc>
          <w:tcPr>
            <w:tcW w:type="dxa" w:w="1440"/>
            <w:shd w:val="clear" w:color="auto" w:fill="1E293B"/>
            <w:tcMar>
              <w:top w:w="80" w:type="dxa"/>
              <w:bottom w:w="80" w:type="dxa"/>
              <w:left w:w="100" w:type="dxa"/>
              <w:right w:w="100" w:type="dxa"/>
            </w:tcMar>
          </w:tcPr>
          <w:p>
            <w:pPr>
              <w:jc w:val="center"/>
            </w:pPr>
            <w:r>
              <w:rPr>
                <w:rFonts w:ascii="Times New Roman" w:hAnsi="Times New Roman"/>
                <w:b/>
                <w:color w:val="FFFFFF"/>
                <w:sz w:val="17"/>
              </w:rPr>
              <w:t>Query Type</w:t>
            </w:r>
          </w:p>
        </w:tc>
        <w:tc>
          <w:tcPr>
            <w:tcW w:type="dxa" w:w="1584"/>
            <w:shd w:val="clear" w:color="auto" w:fill="1E293B"/>
            <w:tcMar>
              <w:top w:w="80" w:type="dxa"/>
              <w:bottom w:w="80" w:type="dxa"/>
              <w:left w:w="100" w:type="dxa"/>
              <w:right w:w="100" w:type="dxa"/>
            </w:tcMar>
          </w:tcPr>
          <w:p>
            <w:pPr>
              <w:jc w:val="center"/>
            </w:pPr>
            <w:r>
              <w:rPr>
                <w:rFonts w:ascii="Times New Roman" w:hAnsi="Times New Roman"/>
                <w:b/>
                <w:color w:val="FFFFFF"/>
                <w:sz w:val="17"/>
              </w:rPr>
              <w:t>Access Control</w:t>
            </w:r>
          </w:p>
        </w:tc>
        <w:tc>
          <w:tcPr>
            <w:tcW w:type="dxa" w:w="1584"/>
            <w:shd w:val="clear" w:color="auto" w:fill="1E293B"/>
            <w:tcMar>
              <w:top w:w="80" w:type="dxa"/>
              <w:bottom w:w="80" w:type="dxa"/>
              <w:left w:w="100" w:type="dxa"/>
              <w:right w:w="100" w:type="dxa"/>
            </w:tcMar>
          </w:tcPr>
          <w:p>
            <w:pPr>
              <w:jc w:val="center"/>
            </w:pPr>
            <w:r>
              <w:rPr>
                <w:rFonts w:ascii="Times New Roman" w:hAnsi="Times New Roman"/>
                <w:b/>
                <w:color w:val="FFFFFF"/>
                <w:sz w:val="17"/>
              </w:rPr>
              <w:t>Verification</w:t>
            </w:r>
          </w:p>
        </w:tc>
        <w:tc>
          <w:tcPr>
            <w:tcW w:type="dxa" w:w="1584"/>
            <w:shd w:val="clear" w:color="auto" w:fill="1E293B"/>
            <w:tcMar>
              <w:top w:w="80" w:type="dxa"/>
              <w:bottom w:w="80" w:type="dxa"/>
              <w:left w:w="100" w:type="dxa"/>
              <w:right w:w="100" w:type="dxa"/>
            </w:tcMar>
          </w:tcPr>
          <w:p>
            <w:pPr>
              <w:jc w:val="center"/>
            </w:pPr>
            <w:r>
              <w:rPr>
                <w:rFonts w:ascii="Times New Roman" w:hAnsi="Times New Roman"/>
                <w:b/>
                <w:color w:val="FFFFFF"/>
                <w:sz w:val="17"/>
              </w:rPr>
              <w:t>Update Granularity</w:t>
            </w:r>
          </w:p>
        </w:tc>
        <w:tc>
          <w:tcPr>
            <w:tcW w:type="dxa" w:w="1296"/>
            <w:shd w:val="clear" w:color="auto" w:fill="1E293B"/>
            <w:tcMar>
              <w:top w:w="80" w:type="dxa"/>
              <w:bottom w:w="80" w:type="dxa"/>
              <w:left w:w="100" w:type="dxa"/>
              <w:right w:w="100" w:type="dxa"/>
            </w:tcMar>
          </w:tcPr>
          <w:p>
            <w:pPr>
              <w:jc w:val="center"/>
            </w:pPr>
            <w:r>
              <w:rPr>
                <w:rFonts w:ascii="Times New Roman" w:hAnsi="Times New Roman"/>
                <w:b/>
                <w:color w:val="FFFFFF"/>
                <w:sz w:val="17"/>
              </w:rPr>
              <w:t>Add Cost</w:t>
            </w:r>
          </w:p>
        </w:tc>
      </w:tr>
      <w:tr>
        <w:tc>
          <w:tcPr>
            <w:tcW w:type="dxa" w:w="2592"/>
            <w:shd w:val="clear" w:color="auto" w:fill="F8FAFC"/>
            <w:tcMar>
              <w:top w:w="60" w:type="dxa"/>
              <w:bottom w:w="60" w:type="dxa"/>
              <w:left w:w="80" w:type="dxa"/>
              <w:right w:w="80" w:type="dxa"/>
            </w:tcMar>
          </w:tcPr>
          <w:p>
            <w:pPr>
              <w:jc w:val="left"/>
            </w:pPr>
            <w:r>
              <w:rPr>
                <w:rFonts w:ascii="Times New Roman" w:hAnsi="Times New Roman"/>
                <w:sz w:val="17"/>
              </w:rPr>
              <w:t>Boneh et al. [5]</w:t>
            </w:r>
          </w:p>
        </w:tc>
        <w:tc>
          <w:tcPr>
            <w:tcW w:type="dxa" w:w="1440"/>
            <w:shd w:val="clear" w:color="auto" w:fill="F8FAFC"/>
            <w:tcMar>
              <w:top w:w="60" w:type="dxa"/>
              <w:bottom w:w="60" w:type="dxa"/>
              <w:left w:w="80" w:type="dxa"/>
              <w:right w:w="80" w:type="dxa"/>
            </w:tcMar>
          </w:tcPr>
          <w:p>
            <w:pPr>
              <w:jc w:val="center"/>
            </w:pPr>
            <w:r>
              <w:rPr>
                <w:rFonts w:ascii="Times New Roman" w:hAnsi="Times New Roman"/>
                <w:sz w:val="17"/>
              </w:rPr>
              <w:t>Single Keyword</w:t>
            </w:r>
          </w:p>
        </w:tc>
        <w:tc>
          <w:tcPr>
            <w:tcW w:type="dxa" w:w="1584"/>
            <w:shd w:val="clear" w:color="auto" w:fill="F8FAFC"/>
            <w:tcMar>
              <w:top w:w="60" w:type="dxa"/>
              <w:bottom w:w="60" w:type="dxa"/>
              <w:left w:w="80" w:type="dxa"/>
              <w:right w:w="80" w:type="dxa"/>
            </w:tcMar>
          </w:tcPr>
          <w:p>
            <w:pPr>
              <w:jc w:val="left"/>
            </w:pPr>
            <w:r>
              <w:rPr>
                <w:rFonts w:ascii="Times New Roman" w:hAnsi="Times New Roman"/>
                <w:sz w:val="17"/>
              </w:rPr>
              <w:t>None (Public Key)</w:t>
            </w:r>
          </w:p>
        </w:tc>
        <w:tc>
          <w:tcPr>
            <w:tcW w:type="dxa" w:w="1584"/>
            <w:shd w:val="clear" w:color="auto" w:fill="F8FAFC"/>
            <w:tcMar>
              <w:top w:w="60" w:type="dxa"/>
              <w:bottom w:w="60" w:type="dxa"/>
              <w:left w:w="80" w:type="dxa"/>
              <w:right w:w="80" w:type="dxa"/>
            </w:tcMar>
          </w:tcPr>
          <w:p>
            <w:pPr>
              <w:jc w:val="left"/>
            </w:pPr>
            <w:r>
              <w:rPr>
                <w:rFonts w:ascii="Times New Roman" w:hAnsi="Times New Roman"/>
                <w:sz w:val="17"/>
              </w:rPr>
              <w:t>None (Untrusted)</w:t>
            </w:r>
          </w:p>
        </w:tc>
        <w:tc>
          <w:tcPr>
            <w:tcW w:type="dxa" w:w="1584"/>
            <w:shd w:val="clear" w:color="auto" w:fill="F8FAFC"/>
            <w:tcMar>
              <w:top w:w="60" w:type="dxa"/>
              <w:bottom w:w="60" w:type="dxa"/>
              <w:left w:w="80" w:type="dxa"/>
              <w:right w:w="80" w:type="dxa"/>
            </w:tcMar>
          </w:tcPr>
          <w:p>
            <w:pPr>
              <w:jc w:val="left"/>
            </w:pPr>
            <w:r>
              <w:rPr>
                <w:rFonts w:ascii="Times New Roman" w:hAnsi="Times New Roman"/>
                <w:sz w:val="17"/>
              </w:rPr>
              <w:t>Static Index</w:t>
            </w:r>
          </w:p>
        </w:tc>
        <w:tc>
          <w:tcPr>
            <w:tcW w:type="dxa" w:w="1296"/>
            <w:shd w:val="clear" w:color="auto" w:fill="F8FAFC"/>
            <w:tcMar>
              <w:top w:w="60" w:type="dxa"/>
              <w:bottom w:w="60" w:type="dxa"/>
              <w:left w:w="80" w:type="dxa"/>
              <w:right w:w="80" w:type="dxa"/>
            </w:tcMar>
          </w:tcPr>
          <w:p>
            <w:pPr>
              <w:jc w:val="center"/>
            </w:pPr>
            <w:r>
              <w:rPr>
                <w:rFonts w:ascii="Times New Roman" w:hAnsi="Times New Roman"/>
                <w:sz w:val="17"/>
              </w:rPr>
              <w:t>O(L)</w:t>
            </w:r>
          </w:p>
        </w:tc>
      </w:tr>
      <w:tr>
        <w:tc>
          <w:tcPr>
            <w:tcW w:type="dxa" w:w="2592"/>
            <w:shd w:val="clear" w:color="auto" w:fill="FFFFFF"/>
            <w:tcMar>
              <w:top w:w="60" w:type="dxa"/>
              <w:bottom w:w="60" w:type="dxa"/>
              <w:left w:w="80" w:type="dxa"/>
              <w:right w:w="80" w:type="dxa"/>
            </w:tcMar>
          </w:tcPr>
          <w:p>
            <w:pPr>
              <w:jc w:val="left"/>
            </w:pPr>
            <w:r>
              <w:rPr>
                <w:rFonts w:ascii="Times New Roman" w:hAnsi="Times New Roman"/>
                <w:sz w:val="17"/>
              </w:rPr>
              <w:t>Bethencourt et al. [6]</w:t>
            </w:r>
          </w:p>
        </w:tc>
        <w:tc>
          <w:tcPr>
            <w:tcW w:type="dxa" w:w="1440"/>
            <w:shd w:val="clear" w:color="auto" w:fill="FFFFFF"/>
            <w:tcMar>
              <w:top w:w="60" w:type="dxa"/>
              <w:bottom w:w="60" w:type="dxa"/>
              <w:left w:w="80" w:type="dxa"/>
              <w:right w:w="80" w:type="dxa"/>
            </w:tcMar>
          </w:tcPr>
          <w:p>
            <w:pPr>
              <w:jc w:val="center"/>
            </w:pPr>
            <w:r>
              <w:rPr>
                <w:rFonts w:ascii="Times New Roman" w:hAnsi="Times New Roman"/>
                <w:sz w:val="17"/>
              </w:rPr>
              <w:t>None (Storage)</w:t>
            </w:r>
          </w:p>
        </w:tc>
        <w:tc>
          <w:tcPr>
            <w:tcW w:type="dxa" w:w="1584"/>
            <w:shd w:val="clear" w:color="auto" w:fill="FFFFFF"/>
            <w:tcMar>
              <w:top w:w="60" w:type="dxa"/>
              <w:bottom w:w="60" w:type="dxa"/>
              <w:left w:w="80" w:type="dxa"/>
              <w:right w:w="80" w:type="dxa"/>
            </w:tcMar>
          </w:tcPr>
          <w:p>
            <w:pPr>
              <w:jc w:val="left"/>
            </w:pPr>
            <w:r>
              <w:rPr>
                <w:rFonts w:ascii="Times New Roman" w:hAnsi="Times New Roman"/>
                <w:sz w:val="17"/>
              </w:rPr>
              <w:t>CP-ABE Access Tree</w:t>
            </w:r>
          </w:p>
        </w:tc>
        <w:tc>
          <w:tcPr>
            <w:tcW w:type="dxa" w:w="1584"/>
            <w:shd w:val="clear" w:color="auto" w:fill="FFFFFF"/>
            <w:tcMar>
              <w:top w:w="60" w:type="dxa"/>
              <w:bottom w:w="60" w:type="dxa"/>
              <w:left w:w="80" w:type="dxa"/>
              <w:right w:w="80" w:type="dxa"/>
            </w:tcMar>
          </w:tcPr>
          <w:p>
            <w:pPr>
              <w:jc w:val="left"/>
            </w:pPr>
            <w:r>
              <w:rPr>
                <w:rFonts w:ascii="Times New Roman" w:hAnsi="Times New Roman"/>
                <w:sz w:val="17"/>
              </w:rPr>
              <w:t>None</w:t>
            </w:r>
          </w:p>
        </w:tc>
        <w:tc>
          <w:tcPr>
            <w:tcW w:type="dxa" w:w="1584"/>
            <w:shd w:val="clear" w:color="auto" w:fill="FFFFFF"/>
            <w:tcMar>
              <w:top w:w="60" w:type="dxa"/>
              <w:bottom w:w="60" w:type="dxa"/>
              <w:left w:w="80" w:type="dxa"/>
              <w:right w:w="80" w:type="dxa"/>
            </w:tcMar>
          </w:tcPr>
          <w:p>
            <w:pPr>
              <w:jc w:val="left"/>
            </w:pPr>
            <w:r>
              <w:rPr>
                <w:rFonts w:ascii="Times New Roman" w:hAnsi="Times New Roman"/>
                <w:sz w:val="17"/>
              </w:rPr>
              <w:t>Key Re-issue</w:t>
            </w:r>
          </w:p>
        </w:tc>
        <w:tc>
          <w:tcPr>
            <w:tcW w:type="dxa" w:w="1296"/>
            <w:shd w:val="clear" w:color="auto" w:fill="FFFFFF"/>
            <w:tcMar>
              <w:top w:w="60" w:type="dxa"/>
              <w:bottom w:w="60" w:type="dxa"/>
              <w:left w:w="80" w:type="dxa"/>
              <w:right w:w="80" w:type="dxa"/>
            </w:tcMar>
          </w:tcPr>
          <w:p>
            <w:pPr>
              <w:jc w:val="center"/>
            </w:pPr>
            <w:r>
              <w:rPr>
                <w:rFonts w:ascii="Times New Roman" w:hAnsi="Times New Roman"/>
                <w:sz w:val="17"/>
              </w:rPr>
              <w:t>N/A</w:t>
            </w:r>
          </w:p>
        </w:tc>
      </w:tr>
      <w:tr>
        <w:tc>
          <w:tcPr>
            <w:tcW w:type="dxa" w:w="2592"/>
            <w:shd w:val="clear" w:color="auto" w:fill="F8FAFC"/>
            <w:tcMar>
              <w:top w:w="60" w:type="dxa"/>
              <w:bottom w:w="60" w:type="dxa"/>
              <w:left w:w="80" w:type="dxa"/>
              <w:right w:w="80" w:type="dxa"/>
            </w:tcMar>
          </w:tcPr>
          <w:p>
            <w:pPr>
              <w:jc w:val="left"/>
            </w:pPr>
            <w:r>
              <w:rPr>
                <w:rFonts w:ascii="Times New Roman" w:hAnsi="Times New Roman"/>
                <w:sz w:val="17"/>
              </w:rPr>
              <w:t>Li et al. (TDSC 2021) [9]</w:t>
            </w:r>
          </w:p>
        </w:tc>
        <w:tc>
          <w:tcPr>
            <w:tcW w:type="dxa" w:w="1440"/>
            <w:shd w:val="clear" w:color="auto" w:fill="F8FAFC"/>
            <w:tcMar>
              <w:top w:w="60" w:type="dxa"/>
              <w:bottom w:w="60" w:type="dxa"/>
              <w:left w:w="80" w:type="dxa"/>
              <w:right w:w="80" w:type="dxa"/>
            </w:tcMar>
          </w:tcPr>
          <w:p>
            <w:pPr>
              <w:jc w:val="center"/>
            </w:pPr>
            <w:r>
              <w:rPr>
                <w:rFonts w:ascii="Times New Roman" w:hAnsi="Times New Roman"/>
                <w:sz w:val="17"/>
              </w:rPr>
              <w:t>Conjunctive</w:t>
            </w:r>
          </w:p>
        </w:tc>
        <w:tc>
          <w:tcPr>
            <w:tcW w:type="dxa" w:w="1584"/>
            <w:shd w:val="clear" w:color="auto" w:fill="F8FAFC"/>
            <w:tcMar>
              <w:top w:w="60" w:type="dxa"/>
              <w:bottom w:w="60" w:type="dxa"/>
              <w:left w:w="80" w:type="dxa"/>
              <w:right w:w="80" w:type="dxa"/>
            </w:tcMar>
          </w:tcPr>
          <w:p>
            <w:pPr>
              <w:jc w:val="left"/>
            </w:pPr>
            <w:r>
              <w:rPr>
                <w:rFonts w:ascii="Times New Roman" w:hAnsi="Times New Roman"/>
                <w:sz w:val="17"/>
              </w:rPr>
              <w:t>Role-Based Matrix</w:t>
            </w:r>
          </w:p>
        </w:tc>
        <w:tc>
          <w:tcPr>
            <w:tcW w:type="dxa" w:w="1584"/>
            <w:shd w:val="clear" w:color="auto" w:fill="F8FAFC"/>
            <w:tcMar>
              <w:top w:w="60" w:type="dxa"/>
              <w:bottom w:w="60" w:type="dxa"/>
              <w:left w:w="80" w:type="dxa"/>
              <w:right w:w="80" w:type="dxa"/>
            </w:tcMar>
          </w:tcPr>
          <w:p>
            <w:pPr>
              <w:jc w:val="left"/>
            </w:pPr>
            <w:r>
              <w:rPr>
                <w:rFonts w:ascii="Times New Roman" w:hAnsi="Times New Roman"/>
                <w:sz w:val="17"/>
              </w:rPr>
              <w:t>Centralized Auditor</w:t>
            </w:r>
          </w:p>
        </w:tc>
        <w:tc>
          <w:tcPr>
            <w:tcW w:type="dxa" w:w="1584"/>
            <w:shd w:val="clear" w:color="auto" w:fill="F8FAFC"/>
            <w:tcMar>
              <w:top w:w="60" w:type="dxa"/>
              <w:bottom w:w="60" w:type="dxa"/>
              <w:left w:w="80" w:type="dxa"/>
              <w:right w:w="80" w:type="dxa"/>
            </w:tcMar>
          </w:tcPr>
          <w:p>
            <w:pPr>
              <w:jc w:val="left"/>
            </w:pPr>
            <w:r>
              <w:rPr>
                <w:rFonts w:ascii="Times New Roman" w:hAnsi="Times New Roman"/>
                <w:sz w:val="17"/>
              </w:rPr>
              <w:t>Batch Level</w:t>
            </w:r>
          </w:p>
        </w:tc>
        <w:tc>
          <w:tcPr>
            <w:tcW w:type="dxa" w:w="1296"/>
            <w:shd w:val="clear" w:color="auto" w:fill="F8FAFC"/>
            <w:tcMar>
              <w:top w:w="60" w:type="dxa"/>
              <w:bottom w:w="60" w:type="dxa"/>
              <w:left w:w="80" w:type="dxa"/>
              <w:right w:w="80" w:type="dxa"/>
            </w:tcMar>
          </w:tcPr>
          <w:p>
            <w:pPr>
              <w:jc w:val="center"/>
            </w:pPr>
            <w:r>
              <w:rPr>
                <w:rFonts w:ascii="Times New Roman" w:hAnsi="Times New Roman"/>
                <w:sz w:val="17"/>
              </w:rPr>
              <w:t>O(L * m)</w:t>
            </w:r>
          </w:p>
        </w:tc>
      </w:tr>
      <w:tr>
        <w:tc>
          <w:tcPr>
            <w:tcW w:type="dxa" w:w="2592"/>
            <w:shd w:val="clear" w:color="auto" w:fill="FFFFFF"/>
            <w:tcMar>
              <w:top w:w="60" w:type="dxa"/>
              <w:bottom w:w="60" w:type="dxa"/>
              <w:left w:w="80" w:type="dxa"/>
              <w:right w:w="80" w:type="dxa"/>
            </w:tcMar>
          </w:tcPr>
          <w:p>
            <w:pPr>
              <w:jc w:val="left"/>
            </w:pPr>
            <w:r>
              <w:rPr>
                <w:rFonts w:ascii="Times New Roman" w:hAnsi="Times New Roman"/>
                <w:sz w:val="17"/>
              </w:rPr>
              <w:t>Zhang et al. (TIFS 2023) [10]</w:t>
            </w:r>
          </w:p>
        </w:tc>
        <w:tc>
          <w:tcPr>
            <w:tcW w:type="dxa" w:w="1440"/>
            <w:shd w:val="clear" w:color="auto" w:fill="FFFFFF"/>
            <w:tcMar>
              <w:top w:w="60" w:type="dxa"/>
              <w:bottom w:w="60" w:type="dxa"/>
              <w:left w:w="80" w:type="dxa"/>
              <w:right w:w="80" w:type="dxa"/>
            </w:tcMar>
          </w:tcPr>
          <w:p>
            <w:pPr>
              <w:jc w:val="center"/>
            </w:pPr>
            <w:r>
              <w:rPr>
                <w:rFonts w:ascii="Times New Roman" w:hAnsi="Times New Roman"/>
                <w:sz w:val="17"/>
              </w:rPr>
              <w:t>Multi-Keyword</w:t>
            </w:r>
          </w:p>
        </w:tc>
        <w:tc>
          <w:tcPr>
            <w:tcW w:type="dxa" w:w="1584"/>
            <w:shd w:val="clear" w:color="auto" w:fill="FFFFFF"/>
            <w:tcMar>
              <w:top w:w="60" w:type="dxa"/>
              <w:bottom w:w="60" w:type="dxa"/>
              <w:left w:w="80" w:type="dxa"/>
              <w:right w:w="80" w:type="dxa"/>
            </w:tcMar>
          </w:tcPr>
          <w:p>
            <w:pPr>
              <w:jc w:val="left"/>
            </w:pPr>
            <w:r>
              <w:rPr>
                <w:rFonts w:ascii="Times New Roman" w:hAnsi="Times New Roman"/>
                <w:sz w:val="17"/>
              </w:rPr>
              <w:t>Attribute-Based</w:t>
            </w:r>
          </w:p>
        </w:tc>
        <w:tc>
          <w:tcPr>
            <w:tcW w:type="dxa" w:w="1584"/>
            <w:shd w:val="clear" w:color="auto" w:fill="FFFFFF"/>
            <w:tcMar>
              <w:top w:w="60" w:type="dxa"/>
              <w:bottom w:w="60" w:type="dxa"/>
              <w:left w:w="80" w:type="dxa"/>
              <w:right w:w="80" w:type="dxa"/>
            </w:tcMar>
          </w:tcPr>
          <w:p>
            <w:pPr>
              <w:jc w:val="left"/>
            </w:pPr>
            <w:r>
              <w:rPr>
                <w:rFonts w:ascii="Times New Roman" w:hAnsi="Times New Roman"/>
                <w:sz w:val="17"/>
              </w:rPr>
              <w:t>Merkle Tree Proofs</w:t>
            </w:r>
          </w:p>
        </w:tc>
        <w:tc>
          <w:tcPr>
            <w:tcW w:type="dxa" w:w="1584"/>
            <w:shd w:val="clear" w:color="auto" w:fill="FFFFFF"/>
            <w:tcMar>
              <w:top w:w="60" w:type="dxa"/>
              <w:bottom w:w="60" w:type="dxa"/>
              <w:left w:w="80" w:type="dxa"/>
              <w:right w:w="80" w:type="dxa"/>
            </w:tcMar>
          </w:tcPr>
          <w:p>
            <w:pPr>
              <w:jc w:val="left"/>
            </w:pPr>
            <w:r>
              <w:rPr>
                <w:rFonts w:ascii="Times New Roman" w:hAnsi="Times New Roman"/>
                <w:sz w:val="17"/>
              </w:rPr>
              <w:t>Tree Rebalance</w:t>
            </w:r>
          </w:p>
        </w:tc>
        <w:tc>
          <w:tcPr>
            <w:tcW w:type="dxa" w:w="1296"/>
            <w:shd w:val="clear" w:color="auto" w:fill="FFFFFF"/>
            <w:tcMar>
              <w:top w:w="60" w:type="dxa"/>
              <w:bottom w:w="60" w:type="dxa"/>
              <w:left w:w="80" w:type="dxa"/>
              <w:right w:w="80" w:type="dxa"/>
            </w:tcMar>
          </w:tcPr>
          <w:p>
            <w:pPr>
              <w:jc w:val="center"/>
            </w:pPr>
            <w:r>
              <w:rPr>
                <w:rFonts w:ascii="Times New Roman" w:hAnsi="Times New Roman"/>
                <w:sz w:val="17"/>
              </w:rPr>
              <w:t>O(m log L)</w:t>
            </w:r>
          </w:p>
        </w:tc>
      </w:tr>
      <w:tr>
        <w:tc>
          <w:tcPr>
            <w:tcW w:type="dxa" w:w="2592"/>
            <w:shd w:val="clear" w:color="auto" w:fill="F8FAFC"/>
            <w:tcMar>
              <w:top w:w="60" w:type="dxa"/>
              <w:bottom w:w="60" w:type="dxa"/>
              <w:left w:w="80" w:type="dxa"/>
              <w:right w:w="80" w:type="dxa"/>
            </w:tcMar>
          </w:tcPr>
          <w:p>
            <w:pPr>
              <w:jc w:val="left"/>
            </w:pPr>
            <w:r>
              <w:rPr>
                <w:rFonts w:ascii="Times New Roman" w:hAnsi="Times New Roman"/>
                <w:sz w:val="17"/>
              </w:rPr>
              <w:t>Cheng et al. (Base 2026) [1]</w:t>
            </w:r>
          </w:p>
        </w:tc>
        <w:tc>
          <w:tcPr>
            <w:tcW w:type="dxa" w:w="1440"/>
            <w:shd w:val="clear" w:color="auto" w:fill="F8FAFC"/>
            <w:tcMar>
              <w:top w:w="60" w:type="dxa"/>
              <w:bottom w:w="60" w:type="dxa"/>
              <w:left w:w="80" w:type="dxa"/>
              <w:right w:w="80" w:type="dxa"/>
            </w:tcMar>
          </w:tcPr>
          <w:p>
            <w:pPr>
              <w:jc w:val="center"/>
            </w:pPr>
            <w:r>
              <w:rPr>
                <w:rFonts w:ascii="Times New Roman" w:hAnsi="Times New Roman"/>
                <w:sz w:val="17"/>
              </w:rPr>
              <w:t>Conjunctive</w:t>
            </w:r>
          </w:p>
        </w:tc>
        <w:tc>
          <w:tcPr>
            <w:tcW w:type="dxa" w:w="1584"/>
            <w:shd w:val="clear" w:color="auto" w:fill="F8FAFC"/>
            <w:tcMar>
              <w:top w:w="60" w:type="dxa"/>
              <w:bottom w:w="60" w:type="dxa"/>
              <w:left w:w="80" w:type="dxa"/>
              <w:right w:w="80" w:type="dxa"/>
            </w:tcMar>
          </w:tcPr>
          <w:p>
            <w:pPr>
              <w:jc w:val="left"/>
            </w:pPr>
            <w:r>
              <w:rPr>
                <w:rFonts w:ascii="Times New Roman" w:hAnsi="Times New Roman"/>
                <w:sz w:val="17"/>
              </w:rPr>
              <w:t>CP-ABE + Multi-Owner</w:t>
            </w:r>
          </w:p>
        </w:tc>
        <w:tc>
          <w:tcPr>
            <w:tcW w:type="dxa" w:w="1584"/>
            <w:shd w:val="clear" w:color="auto" w:fill="F8FAFC"/>
            <w:tcMar>
              <w:top w:w="60" w:type="dxa"/>
              <w:bottom w:w="60" w:type="dxa"/>
              <w:left w:w="80" w:type="dxa"/>
              <w:right w:w="80" w:type="dxa"/>
            </w:tcMar>
          </w:tcPr>
          <w:p>
            <w:pPr>
              <w:jc w:val="left"/>
            </w:pPr>
            <w:r>
              <w:rPr>
                <w:rFonts w:ascii="Times New Roman" w:hAnsi="Times New Roman"/>
                <w:sz w:val="17"/>
              </w:rPr>
              <w:t>Solidity RVSC</w:t>
            </w:r>
          </w:p>
        </w:tc>
        <w:tc>
          <w:tcPr>
            <w:tcW w:type="dxa" w:w="1584"/>
            <w:shd w:val="clear" w:color="auto" w:fill="F8FAFC"/>
            <w:tcMar>
              <w:top w:w="60" w:type="dxa"/>
              <w:bottom w:w="60" w:type="dxa"/>
              <w:left w:w="80" w:type="dxa"/>
              <w:right w:w="80" w:type="dxa"/>
            </w:tcMar>
          </w:tcPr>
          <w:p>
            <w:pPr>
              <w:jc w:val="left"/>
            </w:pPr>
            <w:r>
              <w:rPr>
                <w:rFonts w:ascii="Times New Roman" w:hAnsi="Times New Roman"/>
                <w:sz w:val="17"/>
              </w:rPr>
              <w:t>Monolithic Version</w:t>
            </w:r>
          </w:p>
        </w:tc>
        <w:tc>
          <w:tcPr>
            <w:tcW w:type="dxa" w:w="1296"/>
            <w:shd w:val="clear" w:color="auto" w:fill="F8FAFC"/>
            <w:tcMar>
              <w:top w:w="60" w:type="dxa"/>
              <w:bottom w:w="60" w:type="dxa"/>
              <w:left w:w="80" w:type="dxa"/>
              <w:right w:w="80" w:type="dxa"/>
            </w:tcMar>
          </w:tcPr>
          <w:p>
            <w:pPr>
              <w:jc w:val="center"/>
            </w:pPr>
            <w:r>
              <w:rPr>
                <w:rFonts w:ascii="Times New Roman" w:hAnsi="Times New Roman"/>
                <w:sz w:val="17"/>
              </w:rPr>
              <w:t>O(L * m) Bulk</w:t>
            </w:r>
          </w:p>
        </w:tc>
      </w:tr>
      <w:tr>
        <w:tc>
          <w:tcPr>
            <w:tcW w:type="dxa" w:w="2592"/>
            <w:shd w:val="clear" w:color="auto" w:fill="EFF6FF"/>
            <w:tcMar>
              <w:top w:w="60" w:type="dxa"/>
              <w:bottom w:w="60" w:type="dxa"/>
              <w:left w:w="80" w:type="dxa"/>
              <w:right w:w="80" w:type="dxa"/>
            </w:tcMar>
          </w:tcPr>
          <w:p>
            <w:pPr>
              <w:jc w:val="left"/>
            </w:pPr>
            <w:r>
              <w:rPr>
                <w:rFonts w:ascii="Times New Roman" w:hAnsi="Times New Roman"/>
                <w:b/>
                <w:color w:val="1D4ED8"/>
                <w:sz w:val="17"/>
              </w:rPr>
              <w:t>BAMKS-D (Proposed)</w:t>
            </w:r>
          </w:p>
        </w:tc>
        <w:tc>
          <w:tcPr>
            <w:tcW w:type="dxa" w:w="1440"/>
            <w:shd w:val="clear" w:color="auto" w:fill="EFF6FF"/>
            <w:tcMar>
              <w:top w:w="60" w:type="dxa"/>
              <w:bottom w:w="60" w:type="dxa"/>
              <w:left w:w="80" w:type="dxa"/>
              <w:right w:w="80" w:type="dxa"/>
            </w:tcMar>
          </w:tcPr>
          <w:p>
            <w:pPr>
              <w:jc w:val="center"/>
            </w:pPr>
            <w:r>
              <w:rPr>
                <w:rFonts w:ascii="Times New Roman" w:hAnsi="Times New Roman"/>
                <w:b/>
                <w:color w:val="1D4ED8"/>
                <w:sz w:val="17"/>
              </w:rPr>
              <w:t>Conjunctive</w:t>
            </w:r>
          </w:p>
        </w:tc>
        <w:tc>
          <w:tcPr>
            <w:tcW w:type="dxa" w:w="1584"/>
            <w:shd w:val="clear" w:color="auto" w:fill="EFF6FF"/>
            <w:tcMar>
              <w:top w:w="60" w:type="dxa"/>
              <w:bottom w:w="60" w:type="dxa"/>
              <w:left w:w="80" w:type="dxa"/>
              <w:right w:w="80" w:type="dxa"/>
            </w:tcMar>
          </w:tcPr>
          <w:p>
            <w:pPr>
              <w:jc w:val="left"/>
            </w:pPr>
            <w:r>
              <w:rPr>
                <w:rFonts w:ascii="Times New Roman" w:hAnsi="Times New Roman"/>
                <w:b/>
                <w:color w:val="1D4ED8"/>
                <w:sz w:val="17"/>
              </w:rPr>
              <w:t>Multi-Auth CP-ABE</w:t>
            </w:r>
          </w:p>
        </w:tc>
        <w:tc>
          <w:tcPr>
            <w:tcW w:type="dxa" w:w="1584"/>
            <w:shd w:val="clear" w:color="auto" w:fill="EFF6FF"/>
            <w:tcMar>
              <w:top w:w="60" w:type="dxa"/>
              <w:bottom w:w="60" w:type="dxa"/>
              <w:left w:w="80" w:type="dxa"/>
              <w:right w:w="80" w:type="dxa"/>
            </w:tcMar>
          </w:tcPr>
          <w:p>
            <w:pPr>
              <w:jc w:val="left"/>
            </w:pPr>
            <w:r>
              <w:rPr>
                <w:rFonts w:ascii="Times New Roman" w:hAnsi="Times New Roman"/>
                <w:b/>
                <w:color w:val="1D4ED8"/>
                <w:sz w:val="17"/>
              </w:rPr>
              <w:t>Live Sepolia RVSC</w:t>
            </w:r>
          </w:p>
        </w:tc>
        <w:tc>
          <w:tcPr>
            <w:tcW w:type="dxa" w:w="1584"/>
            <w:shd w:val="clear" w:color="auto" w:fill="EFF6FF"/>
            <w:tcMar>
              <w:top w:w="60" w:type="dxa"/>
              <w:bottom w:w="60" w:type="dxa"/>
              <w:left w:w="80" w:type="dxa"/>
              <w:right w:w="80" w:type="dxa"/>
            </w:tcMar>
          </w:tcPr>
          <w:p>
            <w:pPr>
              <w:jc w:val="left"/>
            </w:pPr>
            <w:r>
              <w:rPr>
                <w:rFonts w:ascii="Times New Roman" w:hAnsi="Times New Roman"/>
                <w:b/>
                <w:color w:val="1D4ED8"/>
                <w:sz w:val="17"/>
              </w:rPr>
              <w:t>Atomic File-Level</w:t>
            </w:r>
          </w:p>
        </w:tc>
        <w:tc>
          <w:tcPr>
            <w:tcW w:type="dxa" w:w="1296"/>
            <w:shd w:val="clear" w:color="auto" w:fill="EFF6FF"/>
            <w:tcMar>
              <w:top w:w="60" w:type="dxa"/>
              <w:bottom w:w="60" w:type="dxa"/>
              <w:left w:w="80" w:type="dxa"/>
              <w:right w:w="80" w:type="dxa"/>
            </w:tcMar>
          </w:tcPr>
          <w:p>
            <w:pPr>
              <w:jc w:val="center"/>
            </w:pPr>
            <w:r>
              <w:rPr>
                <w:rFonts w:ascii="Times New Roman" w:hAnsi="Times New Roman"/>
                <w:b/>
                <w:color w:val="1D4ED8"/>
                <w:sz w:val="17"/>
              </w:rPr>
              <w:t>Strict O(m)</w:t>
            </w:r>
          </w:p>
        </w:tc>
      </w:tr>
    </w:tbl>
    <w:p>
      <w:pPr>
        <w:spacing w:after="160"/>
      </w:pPr>
    </w:p>
    <w:p>
      <w:pPr>
        <w:spacing w:before="280" w:after="80"/>
      </w:pPr>
      <w:r>
        <w:rPr>
          <w:rFonts w:ascii="Times New Roman" w:hAnsi="Times New Roman"/>
          <w:b/>
          <w:color w:val="0F172A"/>
          <w:sz w:val="23"/>
        </w:rPr>
        <w:t>III.  PRELIMINARIES &amp; THREAT MODEL</w:t>
      </w:r>
    </w:p>
    <w:p>
      <w:pPr>
        <w:spacing w:before="200" w:after="60"/>
      </w:pPr>
      <w:r>
        <w:rPr>
          <w:rFonts w:ascii="Times New Roman" w:hAnsi="Times New Roman"/>
          <w:b/>
          <w:color w:val="1E293B"/>
          <w:sz w:val="21"/>
        </w:rPr>
        <w:t>A.  Cryptographic Foundations and Prime Cyclic Group</w:t>
      </w:r>
    </w:p>
    <w:p>
      <w:pPr>
        <w:spacing w:before="40" w:after="80" w:line="276" w:lineRule="auto"/>
      </w:pPr>
      <w:r>
        <w:rPr>
          <w:rFonts w:ascii="Times New Roman" w:hAnsi="Times New Roman"/>
          <w:sz w:val="20"/>
        </w:rPr>
        <w:t>Let G be a multiplicative cyclic group of large prime order P, with generator g = 2. In our implementation, P is a 256-bit prime defined over the secp256k1 base field: P = 2^256 - 2^32 - 977. Cryptographic security relies on the standard Discrete Logarithm (DL) assumption and Decisional Bilinear Diffie-Hellman (DBDH) assumption in G. We utilize two cryptographic hash functions: H_1: {0,1}* -&gt; Z_P* mapping arbitrary byte strings to non-zero group exponents, and H_2: {0,1}* -&gt; {0,1}^256 implemented via SHA-256.</w:t>
      </w:r>
    </w:p>
    <w:tbl>
      <w:tblPr>
        <w:tblW w:type="auto" w:w="0"/>
        <w:jc w:val="center"/>
        <w:tblLayout w:type="fixed"/>
        <w:tblLook w:firstColumn="1" w:firstRow="1" w:lastColumn="0" w:lastRow="0" w:noHBand="0" w:noVBand="1" w:val="04A0"/>
      </w:tblPr>
      <w:tblGrid>
        <w:gridCol w:w="8640"/>
        <w:gridCol w:w="1152"/>
      </w:tblGrid>
      <w:tr>
        <w:tc>
          <w:tcPr>
            <w:tcW w:type="dxa" w:w="5040"/>
          </w:tcPr>
          <w:p>
            <w:pPr>
              <w:jc w:val="center"/>
            </w:pPr>
            <w:r>
              <w:rPr>
                <w:rFonts w:ascii="Times New Roman" w:hAnsi="Times New Roman"/>
                <w:i/>
                <w:sz w:val="20"/>
              </w:rPr>
              <w:t>P = 2^{256} - 2^{32} - 977</w:t>
            </w:r>
          </w:p>
        </w:tc>
        <w:tc>
          <w:tcPr>
            <w:tcW w:type="dxa" w:w="5040"/>
          </w:tcPr>
          <w:p>
            <w:pPr>
              <w:jc w:val="right"/>
            </w:pPr>
            <w:r>
              <w:rPr>
                <w:rFonts w:ascii="Times New Roman" w:hAnsi="Times New Roman"/>
                <w:b/>
                <w:sz w:val="19"/>
              </w:rPr>
              <w:t>(1)</w:t>
            </w:r>
          </w:p>
        </w:tc>
      </w:tr>
    </w:tbl>
    <w:p>
      <w:pPr>
        <w:spacing w:before="0" w:after="60"/>
      </w:pPr>
    </w:p>
    <w:p>
      <w:pPr>
        <w:spacing w:before="200" w:after="60"/>
      </w:pPr>
      <w:r>
        <w:rPr>
          <w:rFonts w:ascii="Times New Roman" w:hAnsi="Times New Roman"/>
          <w:b/>
          <w:color w:val="1E293B"/>
          <w:sz w:val="21"/>
        </w:rPr>
        <w:t>B.  System Architecture Entities</w:t>
      </w:r>
    </w:p>
    <w:p>
      <w:pPr>
        <w:spacing w:before="40" w:after="80" w:line="276" w:lineRule="auto"/>
      </w:pPr>
      <w:r>
        <w:rPr>
          <w:rFonts w:ascii="Times New Roman" w:hAnsi="Times New Roman"/>
          <w:sz w:val="20"/>
        </w:rPr>
        <w:t>BAMKS-D orchestrates interactions among seven key entities: (1) Key Generation Center (KGC) initializing global parameters and master secrets, (2) Attribute Authorities (AA) managing clinical attributes (Doctor, Nurse, Cardiology, ICU), (3) Data Owners (DO) encrypting EHRs and pinning payloads to IPFS, (4) Data Users (DU) generating query trapdoors, (5) Cloud Storage Provider (CSP) hosting the encrypted index and evaluating trapdoors, (6) Ethereum Sepolia Smart Contract (BAMKS_Registry) maintaining the deletion registry and verifying search proofs, and (7) Decentralized IPFS Storage Layer storing encrypted payloads addressed by Content Identifiers (CIDs).</w:t>
      </w:r>
    </w:p>
    <w:p>
      <w:pPr>
        <w:spacing w:before="120" w:after="40"/>
        <w:jc w:val="center"/>
      </w:pPr>
    </w:p>
    <w:p>
      <w:r>
        <w:drawing>
          <wp:inline xmlns:a="http://schemas.openxmlformats.org/drawingml/2006/main" xmlns:pic="http://schemas.openxmlformats.org/drawingml/2006/picture">
            <wp:extent cx="5303520" cy="2872740"/>
            <wp:docPr id="1" name="Picture 1"/>
            <wp:cNvGraphicFramePr>
              <a:graphicFrameLocks noChangeAspect="1"/>
            </wp:cNvGraphicFramePr>
            <a:graphic>
              <a:graphicData uri="http://schemas.openxmlformats.org/drawingml/2006/picture">
                <pic:pic>
                  <pic:nvPicPr>
                    <pic:cNvPr id="0" name="diagram_architecture.png"/>
                    <pic:cNvPicPr/>
                  </pic:nvPicPr>
                  <pic:blipFill>
                    <a:blip r:embed="rId9"/>
                    <a:stretch>
                      <a:fillRect/>
                    </a:stretch>
                  </pic:blipFill>
                  <pic:spPr>
                    <a:xfrm>
                      <a:off x="0" y="0"/>
                      <a:ext cx="5303520" cy="2872740"/>
                    </a:xfrm>
                    <a:prstGeom prst="rect"/>
                  </pic:spPr>
                </pic:pic>
              </a:graphicData>
            </a:graphic>
          </wp:inline>
        </w:drawing>
      </w:r>
    </w:p>
    <w:p>
      <w:pPr>
        <w:spacing w:after="160"/>
        <w:jc w:val="center"/>
      </w:pPr>
      <w:r>
        <w:rPr>
          <w:i/>
          <w:sz w:val="17"/>
        </w:rPr>
        <w:t>Fig. 1. System Architecture of BAMKS-D: Decoupled workflow across KGC, Attribute Authorities, Data Owners, Cloud Server, Sepolia Smart Contract, and Decentralized IPFS.</w:t>
      </w:r>
    </w:p>
    <w:p>
      <w:pPr>
        <w:spacing w:before="200" w:after="60"/>
      </w:pPr>
      <w:r>
        <w:rPr>
          <w:rFonts w:ascii="Times New Roman" w:hAnsi="Times New Roman"/>
          <w:b/>
          <w:color w:val="1E293B"/>
          <w:sz w:val="21"/>
        </w:rPr>
        <w:t>C.  Threat Model and Security Goals</w:t>
      </w:r>
    </w:p>
    <w:p>
      <w:pPr>
        <w:spacing w:before="40" w:after="80" w:line="276" w:lineRule="auto"/>
      </w:pPr>
      <w:r>
        <w:rPr>
          <w:rFonts w:ascii="Times New Roman" w:hAnsi="Times New Roman"/>
          <w:sz w:val="20"/>
        </w:rPr>
        <w:t>The CSP is modeled as honest-but-curious: it faithfully executes search algorithms and stores indices, but attempts to infer plaintext patient diagnoses and correlate query patterns. Data Users may be malicious and collude to pool attributes to bypass access policies. The Ethereum Sepolia blockchain is modeled as a decentralized, tamper-proof state machine with deterministic execution. Our security goals include data confidentiality, index indistinguishability (IND-CKA), trapdoor unlinkability, and verifiable non-bypassability.</w:t>
      </w:r>
    </w:p>
    <w:p>
      <w:pPr>
        <w:spacing w:before="280" w:after="80"/>
      </w:pPr>
      <w:r>
        <w:rPr>
          <w:rFonts w:ascii="Times New Roman" w:hAnsi="Times New Roman"/>
          <w:b/>
          <w:color w:val="0F172A"/>
          <w:sz w:val="23"/>
        </w:rPr>
        <w:t>IV.  THE PROPOSED BAMKS-D PROTOCOL</w:t>
      </w:r>
    </w:p>
    <w:p>
      <w:pPr>
        <w:spacing w:before="200" w:after="60"/>
      </w:pPr>
      <w:r>
        <w:rPr>
          <w:rFonts w:ascii="Times New Roman" w:hAnsi="Times New Roman"/>
          <w:b/>
          <w:color w:val="1E293B"/>
          <w:sz w:val="21"/>
        </w:rPr>
        <w:t>A.  Global Setup and Key Generation with Session Randomness</w:t>
      </w:r>
    </w:p>
    <w:p>
      <w:pPr>
        <w:spacing w:before="40" w:after="80" w:line="276" w:lineRule="auto"/>
      </w:pPr>
      <w:r>
        <w:rPr>
          <w:rFonts w:ascii="Times New Roman" w:hAnsi="Times New Roman"/>
          <w:sz w:val="20"/>
        </w:rPr>
        <w:t>The KGC initializes the system by sampling master secrets mu, gamma in Z_P* and a shared collection exponent eta in Z_{P-1}*. The public parameters are published as GP = (g, P, g^mu, g^gamma, g^eta, e(g,g)^mu). For a clinician with identity uid and attribute set S_uid, the Attribute Authority samples fresh per-generation session randomness t in Z_{P-1}* and computes user keys:</w:t>
      </w:r>
    </w:p>
    <w:tbl>
      <w:tblPr>
        <w:tblW w:type="auto" w:w="0"/>
        <w:jc w:val="center"/>
        <w:tblLayout w:type="fixed"/>
        <w:tblLook w:firstColumn="1" w:firstRow="1" w:lastColumn="0" w:lastRow="0" w:noHBand="0" w:noVBand="1" w:val="04A0"/>
      </w:tblPr>
      <w:tblGrid>
        <w:gridCol w:w="8640"/>
        <w:gridCol w:w="1152"/>
      </w:tblGrid>
      <w:tr>
        <w:tc>
          <w:tcPr>
            <w:tcW w:type="dxa" w:w="5040"/>
          </w:tcPr>
          <w:p>
            <w:pPr>
              <w:jc w:val="center"/>
            </w:pPr>
            <w:r>
              <w:rPr>
                <w:rFonts w:ascii="Times New Roman" w:hAnsi="Times New Roman"/>
                <w:i/>
                <w:sz w:val="20"/>
              </w:rPr>
              <w:t>K_1 = H_1(uid)^{-t \pmod{P-1}} \pmod P</w:t>
            </w:r>
          </w:p>
        </w:tc>
        <w:tc>
          <w:tcPr>
            <w:tcW w:type="dxa" w:w="5040"/>
          </w:tcPr>
          <w:p>
            <w:pPr>
              <w:jc w:val="right"/>
            </w:pPr>
            <w:r>
              <w:rPr>
                <w:rFonts w:ascii="Times New Roman" w:hAnsi="Times New Roman"/>
                <w:b/>
                <w:sz w:val="19"/>
              </w:rPr>
              <w:t>(2)</w:t>
            </w:r>
          </w:p>
        </w:tc>
      </w:tr>
    </w:tbl>
    <w:p>
      <w:pPr>
        <w:spacing w:before="0" w:after="60"/>
      </w:pPr>
    </w:p>
    <w:tbl>
      <w:tblPr>
        <w:tblW w:type="auto" w:w="0"/>
        <w:jc w:val="center"/>
        <w:tblLayout w:type="fixed"/>
        <w:tblLook w:firstColumn="1" w:firstRow="1" w:lastColumn="0" w:lastRow="0" w:noHBand="0" w:noVBand="1" w:val="04A0"/>
      </w:tblPr>
      <w:tblGrid>
        <w:gridCol w:w="8640"/>
        <w:gridCol w:w="1152"/>
      </w:tblGrid>
      <w:tr>
        <w:tc>
          <w:tcPr>
            <w:tcW w:type="dxa" w:w="5040"/>
          </w:tcPr>
          <w:p>
            <w:pPr>
              <w:jc w:val="center"/>
            </w:pPr>
            <w:r>
              <w:rPr>
                <w:rFonts w:ascii="Times New Roman" w:hAnsi="Times New Roman"/>
                <w:i/>
                <w:sz w:val="20"/>
              </w:rPr>
              <w:t>\forall attr_i \in S_{uid}: \quad K_{2,i} = \left( H_1(uid)^{t \cdot \beta_i} \cdot dpk_{ver}^{\alpha_i} \right) \pmod P</w:t>
            </w:r>
          </w:p>
        </w:tc>
        <w:tc>
          <w:tcPr>
            <w:tcW w:type="dxa" w:w="5040"/>
          </w:tcPr>
          <w:p>
            <w:pPr>
              <w:jc w:val="right"/>
            </w:pPr>
            <w:r>
              <w:rPr>
                <w:rFonts w:ascii="Times New Roman" w:hAnsi="Times New Roman"/>
                <w:b/>
                <w:sz w:val="19"/>
              </w:rPr>
              <w:t>(3)</w:t>
            </w:r>
          </w:p>
        </w:tc>
      </w:tr>
    </w:tbl>
    <w:p>
      <w:pPr>
        <w:spacing w:before="0" w:after="60"/>
      </w:pPr>
    </w:p>
    <w:tbl>
      <w:tblPr>
        <w:tblW w:type="auto" w:w="0"/>
        <w:jc w:val="center"/>
        <w:tblLayout w:type="fixed"/>
        <w:tblLook w:firstColumn="1" w:firstRow="1" w:lastColumn="0" w:lastRow="0" w:noHBand="0" w:noVBand="1" w:val="04A0"/>
      </w:tblPr>
      <w:tblGrid>
        <w:gridCol w:w="8640"/>
        <w:gridCol w:w="1152"/>
      </w:tblGrid>
      <w:tr>
        <w:tc>
          <w:tcPr>
            <w:tcW w:type="dxa" w:w="5040"/>
          </w:tcPr>
          <w:p>
            <w:pPr>
              <w:jc w:val="center"/>
            </w:pPr>
            <w:r>
              <w:rPr>
                <w:rFonts w:ascii="Times New Roman" w:hAnsi="Times New Roman"/>
                <w:i/>
                <w:sz w:val="20"/>
              </w:rPr>
              <w:t>SK_{uid} = \left( K_1, \{K_{2,i}\}_{i \in S_{uid}}, K_3 \right)</w:t>
            </w:r>
          </w:p>
        </w:tc>
        <w:tc>
          <w:tcPr>
            <w:tcW w:type="dxa" w:w="5040"/>
          </w:tcPr>
          <w:p>
            <w:pPr>
              <w:jc w:val="right"/>
            </w:pPr>
            <w:r>
              <w:rPr>
                <w:rFonts w:ascii="Times New Roman" w:hAnsi="Times New Roman"/>
                <w:b/>
                <w:sz w:val="19"/>
              </w:rPr>
              <w:t>(4)</w:t>
            </w:r>
          </w:p>
        </w:tc>
      </w:tr>
    </w:tbl>
    <w:p>
      <w:pPr>
        <w:spacing w:before="0" w:after="60"/>
      </w:pPr>
    </w:p>
    <w:p>
      <w:pPr>
        <w:spacing w:before="40" w:after="80" w:line="276" w:lineRule="auto"/>
      </w:pPr>
      <w:r>
        <w:rPr>
          <w:rFonts w:ascii="Times New Roman" w:hAnsi="Times New Roman"/>
          <w:sz w:val="20"/>
        </w:rPr>
        <w:t>By enforcing fresh randomness t in Z_{P-1}* on each KeyGen call, consecutive key issuances for the same identity produce mathematically distinct keys, resolving the key stagnation bug present in the base codebase.</w:t>
      </w:r>
    </w:p>
    <w:p>
      <w:pPr>
        <w:spacing w:before="200" w:after="60"/>
      </w:pPr>
      <w:r>
        <w:rPr>
          <w:rFonts w:ascii="Times New Roman" w:hAnsi="Times New Roman"/>
          <w:b/>
          <w:color w:val="1E293B"/>
          <w:sz w:val="21"/>
        </w:rPr>
        <w:t>B.  Payload Encryption and IPFS Pinning</w:t>
      </w:r>
    </w:p>
    <w:p>
      <w:pPr>
        <w:spacing w:before="40" w:after="80" w:line="276" w:lineRule="auto"/>
      </w:pPr>
      <w:r>
        <w:rPr>
          <w:rFonts w:ascii="Times New Roman" w:hAnsi="Times New Roman"/>
          <w:sz w:val="20"/>
        </w:rPr>
        <w:t>For document F_doc with identifier docId, the symmetric key is derived as K_sym = H_2(Phi || docId || ver). The payload is encrypted using AES-256-GCM, producing ciphertext C_data, nonce N_96, and tag Tag_128. A Schnorr verification secret sigma_k in Z_{P-1}* is sampled to construct public tag y_k = g^{sigma_k} mod P. The encrypted bundle is pinned to IPFS via Pinata, returning an immutable CID.</w:t>
      </w:r>
    </w:p>
    <w:p>
      <w:pPr>
        <w:spacing w:before="200" w:after="60"/>
      </w:pPr>
      <w:r>
        <w:rPr>
          <w:rFonts w:ascii="Times New Roman" w:hAnsi="Times New Roman"/>
          <w:b/>
          <w:color w:val="1E293B"/>
          <w:sz w:val="21"/>
        </w:rPr>
        <w:t>C.  Atomic Single-Document Addition Primitive (SingleDocAdd)</w:t>
      </w:r>
    </w:p>
    <w:p>
      <w:pPr>
        <w:spacing w:before="40" w:after="80" w:line="276" w:lineRule="auto"/>
      </w:pPr>
      <w:r>
        <w:rPr>
          <w:rFonts w:ascii="Times New Roman" w:hAnsi="Times New Roman"/>
          <w:sz w:val="20"/>
        </w:rPr>
        <w:t>When an incoming patient record arrives with keywords W_doc = {w_1, ..., w_m}, the data owner computes keyword tokens using shared exponent eta:</w:t>
      </w:r>
    </w:p>
    <w:tbl>
      <w:tblPr>
        <w:tblW w:type="auto" w:w="0"/>
        <w:jc w:val="center"/>
        <w:tblLayout w:type="fixed"/>
        <w:tblLook w:firstColumn="1" w:firstRow="1" w:lastColumn="0" w:lastRow="0" w:noHBand="0" w:noVBand="1" w:val="04A0"/>
      </w:tblPr>
      <w:tblGrid>
        <w:gridCol w:w="8640"/>
        <w:gridCol w:w="1152"/>
      </w:tblGrid>
      <w:tr>
        <w:tc>
          <w:tcPr>
            <w:tcW w:type="dxa" w:w="5040"/>
          </w:tcPr>
          <w:p>
            <w:pPr>
              <w:jc w:val="center"/>
            </w:pPr>
            <w:r>
              <w:rPr>
                <w:rFonts w:ascii="Times New Roman" w:hAnsi="Times New Roman"/>
                <w:i/>
                <w:sz w:val="20"/>
              </w:rPr>
              <w:t>I_{doc,j} = g^{\eta \cdot H_1(w_j)} \pmod P, \quad Key_j = H_2(\text{'tok\_'} \parallel I_{doc,j})</w:t>
            </w:r>
          </w:p>
        </w:tc>
        <w:tc>
          <w:tcPr>
            <w:tcW w:type="dxa" w:w="5040"/>
          </w:tcPr>
          <w:p>
            <w:pPr>
              <w:jc w:val="right"/>
            </w:pPr>
            <w:r>
              <w:rPr>
                <w:rFonts w:ascii="Times New Roman" w:hAnsi="Times New Roman"/>
                <w:b/>
                <w:sz w:val="19"/>
              </w:rPr>
              <w:t>(5)</w:t>
            </w:r>
          </w:p>
        </w:tc>
      </w:tr>
    </w:tbl>
    <w:p>
      <w:pPr>
        <w:spacing w:before="0" w:after="60"/>
      </w:pPr>
    </w:p>
    <w:p>
      <w:pPr>
        <w:spacing w:before="40" w:after="80" w:line="276" w:lineRule="auto"/>
      </w:pPr>
      <w:r>
        <w:rPr>
          <w:rFonts w:ascii="Times New Roman" w:hAnsi="Times New Roman"/>
          <w:sz w:val="20"/>
        </w:rPr>
        <w:t>The index entry (docId, Key_j, y_k, CID) is appended directly to the cloud inverted index table, and registered active in the smart contract. Because existing index entries remain untouched, addition complexity is strictly O(m), completely independent of collection size L.</w:t>
      </w:r>
    </w:p>
    <w:p>
      <w:pPr>
        <w:spacing w:before="200" w:after="60"/>
      </w:pPr>
      <w:r>
        <w:rPr>
          <w:rFonts w:ascii="Times New Roman" w:hAnsi="Times New Roman"/>
          <w:b/>
          <w:color w:val="1E293B"/>
          <w:sz w:val="21"/>
        </w:rPr>
        <w:t>D.  Instant On-Chain Document Deletion Primitive (SingleDocDelete)</w:t>
      </w:r>
    </w:p>
    <w:p>
      <w:pPr>
        <w:spacing w:before="40" w:after="80" w:line="276" w:lineRule="auto"/>
      </w:pPr>
      <w:r>
        <w:rPr>
          <w:rFonts w:ascii="Times New Roman" w:hAnsi="Times New Roman"/>
          <w:sz w:val="20"/>
        </w:rPr>
        <w:t>To revoke document docId, the authorized owner calls deleteDocument(docId) on the Ethereum Sepolia smart contract. The EVM maps storage slots directly via Slot = keccak256(abi.encode(docId, slotNum)), setting deletedDocRegistry[docId] = true in a single SSTORE opcode without scanning past history, achieving strict O(1) constant time.</w:t>
      </w:r>
    </w:p>
    <w:tbl>
      <w:tblPr>
        <w:tblW w:type="auto" w:w="0"/>
        <w:jc w:val="center"/>
        <w:tblLayout w:type="fixed"/>
        <w:tblLook w:firstColumn="1" w:firstRow="1" w:lastColumn="0" w:lastRow="0" w:noHBand="0" w:noVBand="1" w:val="04A0"/>
      </w:tblPr>
      <w:tblGrid>
        <w:gridCol w:w="8640"/>
        <w:gridCol w:w="1152"/>
      </w:tblGrid>
      <w:tr>
        <w:tc>
          <w:tcPr>
            <w:tcW w:type="dxa" w:w="5040"/>
          </w:tcPr>
          <w:p>
            <w:pPr>
              <w:jc w:val="center"/>
            </w:pPr>
            <w:r>
              <w:rPr>
                <w:rFonts w:ascii="Times New Roman" w:hAnsi="Times New Roman"/>
                <w:i/>
                <w:sz w:val="20"/>
              </w:rPr>
              <w:t>\texttt{deletedDocRegistry}[docId] = \text{true}</w:t>
            </w:r>
          </w:p>
        </w:tc>
        <w:tc>
          <w:tcPr>
            <w:tcW w:type="dxa" w:w="5040"/>
          </w:tcPr>
          <w:p>
            <w:pPr>
              <w:jc w:val="right"/>
            </w:pPr>
            <w:r>
              <w:rPr>
                <w:rFonts w:ascii="Times New Roman" w:hAnsi="Times New Roman"/>
                <w:b/>
                <w:sz w:val="19"/>
              </w:rPr>
              <w:t>(6)</w:t>
            </w:r>
          </w:p>
        </w:tc>
      </w:tr>
    </w:tbl>
    <w:p>
      <w:pPr>
        <w:spacing w:before="0" w:after="60"/>
      </w:pPr>
    </w:p>
    <w:p>
      <w:pPr>
        <w:spacing w:before="200" w:after="60"/>
      </w:pPr>
      <w:r>
        <w:rPr>
          <w:rFonts w:ascii="Times New Roman" w:hAnsi="Times New Roman"/>
          <w:b/>
          <w:color w:val="1E293B"/>
          <w:sz w:val="21"/>
        </w:rPr>
        <w:t>E.  Conjunctive Multi-Keyword Search and Algebraic Verification</w:t>
      </w:r>
    </w:p>
    <w:p>
      <w:pPr>
        <w:spacing w:before="40" w:after="80" w:line="276" w:lineRule="auto"/>
      </w:pPr>
      <w:r>
        <w:rPr>
          <w:rFonts w:ascii="Times New Roman" w:hAnsi="Times New Roman"/>
          <w:sz w:val="20"/>
        </w:rPr>
        <w:t>To search for keywords W~ = {w~_1, ..., w~_q}, the clinician samples fresh session secret phi in Z_{P-1}* and computes trapdoors: T_1 = g^phi mod P and T_3 = g^{phi * sum H_1(w~_j)} mod P. The CSP evaluates the algebraic matching equation:</w:t>
      </w:r>
    </w:p>
    <w:tbl>
      <w:tblPr>
        <w:tblW w:type="auto" w:w="0"/>
        <w:jc w:val="center"/>
        <w:tblLayout w:type="fixed"/>
        <w:tblLook w:firstColumn="1" w:firstRow="1" w:lastColumn="0" w:lastRow="0" w:noHBand="0" w:noVBand="1" w:val="04A0"/>
      </w:tblPr>
      <w:tblGrid>
        <w:gridCol w:w="8640"/>
        <w:gridCol w:w="1152"/>
      </w:tblGrid>
      <w:tr>
        <w:tc>
          <w:tcPr>
            <w:tcW w:type="dxa" w:w="5040"/>
          </w:tcPr>
          <w:p>
            <w:pPr>
              <w:jc w:val="center"/>
            </w:pPr>
            <w:r>
              <w:rPr>
                <w:rFonts w:ascii="Times New Roman" w:hAnsi="Times New Roman"/>
                <w:i/>
                <w:sz w:val="20"/>
              </w:rPr>
              <w:t>(I_{prod})^\phi \equiv (T_3)^\eta \pmod P</w:t>
            </w:r>
          </w:p>
        </w:tc>
        <w:tc>
          <w:tcPr>
            <w:tcW w:type="dxa" w:w="5040"/>
          </w:tcPr>
          <w:p>
            <w:pPr>
              <w:jc w:val="right"/>
            </w:pPr>
            <w:r>
              <w:rPr>
                <w:rFonts w:ascii="Times New Roman" w:hAnsi="Times New Roman"/>
                <w:b/>
                <w:sz w:val="19"/>
              </w:rPr>
              <w:t>(7)</w:t>
            </w:r>
          </w:p>
        </w:tc>
      </w:tr>
    </w:tbl>
    <w:p>
      <w:pPr>
        <w:spacing w:before="0" w:after="60"/>
      </w:pPr>
    </w:p>
    <w:p>
      <w:pPr>
        <w:spacing w:before="40" w:after="80" w:line="276" w:lineRule="auto"/>
      </w:pPr>
      <w:r>
        <w:rPr>
          <w:rFonts w:ascii="Times New Roman" w:hAnsi="Times New Roman"/>
          <w:sz w:val="20"/>
        </w:rPr>
        <w:t>where I_prod = prod_{j=1}^q I_{doc,j} mod P. The equality holds if and only if the document contains all q query keywords. The smart contract RVSC additionally enforces: require(!deletedDocRegistry[docId]), guaranteeing that revoked records are never returned.</w:t>
      </w:r>
    </w:p>
    <w:p>
      <w:pPr>
        <w:spacing w:before="280" w:after="80"/>
      </w:pPr>
      <w:r>
        <w:rPr>
          <w:rFonts w:ascii="Times New Roman" w:hAnsi="Times New Roman"/>
          <w:b/>
          <w:color w:val="0F172A"/>
          <w:sz w:val="23"/>
        </w:rPr>
        <w:t>V.  ALGORITHMS AND PSEUDOCODE</w:t>
      </w:r>
    </w:p>
    <w:p>
      <w:pPr>
        <w:spacing w:before="40" w:after="80" w:line="276" w:lineRule="auto"/>
      </w:pPr>
      <w:r>
        <w:rPr>
          <w:rFonts w:ascii="Times New Roman" w:hAnsi="Times New Roman"/>
          <w:sz w:val="20"/>
        </w:rPr>
        <w:t>This section formalizes the core operational algorithms of BAMKS-D: (1) Atomic Document Addition, (2) On-Chain Document Deletion, (3) Zero-Leakage Conjunctive Search, and (4) Aggregated Schnorr NIZK Verification.</w:t>
      </w:r>
    </w:p>
    <w:tbl>
      <w:tblPr>
        <w:tblW w:type="auto" w:w="0"/>
        <w:jc w:val="center"/>
        <w:tblLook w:firstColumn="1" w:firstRow="1" w:lastColumn="0" w:lastRow="0" w:noHBand="0" w:noVBand="1" w:val="04A0"/>
      </w:tblPr>
      <w:tblGrid>
        <w:gridCol w:w="10080"/>
      </w:tblGrid>
      <w:tr>
        <w:tc>
          <w:tcPr>
            <w:tcW w:type="dxa" w:w="10080"/>
            <w:shd w:val="clear" w:color="auto" w:fill="F8FAFC"/>
            <w:tcMar>
              <w:top w:w="120" w:type="dxa"/>
              <w:bottom w:w="120" w:type="dxa"/>
              <w:left w:w="180" w:type="dxa"/>
              <w:right w:w="180" w:type="dxa"/>
            </w:tcMar>
            <w:tcBorders>
              <w:top w:val="none"/>
              <w:left w:val="single" w:sz="24" w:space="0" w:color="2563EB"/>
              <w:bottom w:val="none"/>
              <w:right w:val="none"/>
            </w:tcBorders>
          </w:tcPr>
          <w:p>
            <w:pPr>
              <w:spacing w:before="40" w:after="40" w:line="276" w:lineRule="auto"/>
            </w:pPr>
            <w:r>
              <w:rPr>
                <w:rFonts w:ascii="Times New Roman" w:hAnsi="Times New Roman"/>
                <w:b/>
                <w:color w:val="1E293B"/>
                <w:sz w:val="19"/>
              </w:rPr>
              <w:t xml:space="preserve">Algorithm 1: SingleDocAdd(docId, F_doc, W_doc, Phi, ver, eta): </w:t>
            </w:r>
            <w:r>
              <w:rPr>
                <w:rFonts w:ascii="Times New Roman" w:hAnsi="Times New Roman"/>
                <w:color w:val="334155"/>
                <w:sz w:val="19"/>
              </w:rPr>
              <w:t>Input: docId, payload F_doc, keywords W_doc={w_1..w_m}, token Phi, version ver, shared exponent eta.</w:t>
              <w:br/>
              <w:t>1. K_sym = H_2(Phi || docId || ver)</w:t>
              <w:br/>
              <w:t>2. (C_data, N_96, Tag_128) = AES-256-GCM-Enc(K_sym, F_doc)</w:t>
              <w:br/>
              <w:t>3. Sample sigma_k in Z_{P-1}*, compute y_k = g^{sigma_k} mod P</w:t>
              <w:br/>
              <w:t>4. Pin (C_data, y_k) to Pinata IPFS -&gt; CID</w:t>
              <w:br/>
              <w:t>5. For each w_j in W_doc: I_{doc,j} = g^{eta * H_1(w_j)} mod P; Key_j = H_2('tok_' || I_{doc,j})</w:t>
              <w:br/>
              <w:t>6. Append (docId, Key_j, y_k, CID) to Cloud Index; Register on-chain: registerDocument(docId, H_2(C_data), y_k)</w:t>
              <w:br/>
              <w:t>Output: (CID, Index_doc, y_k) [Execution: Strict O(m) time]</w:t>
            </w:r>
          </w:p>
        </w:tc>
      </w:tr>
    </w:tbl>
    <w:p>
      <w:pPr>
        <w:spacing w:before="0" w:after="80"/>
      </w:pPr>
    </w:p>
    <w:tbl>
      <w:tblPr>
        <w:tblW w:type="auto" w:w="0"/>
        <w:jc w:val="center"/>
        <w:tblLook w:firstColumn="1" w:firstRow="1" w:lastColumn="0" w:lastRow="0" w:noHBand="0" w:noVBand="1" w:val="04A0"/>
      </w:tblPr>
      <w:tblGrid>
        <w:gridCol w:w="10080"/>
      </w:tblGrid>
      <w:tr>
        <w:tc>
          <w:tcPr>
            <w:tcW w:type="dxa" w:w="10080"/>
            <w:shd w:val="clear" w:color="auto" w:fill="F8FAFC"/>
            <w:tcMar>
              <w:top w:w="120" w:type="dxa"/>
              <w:bottom w:w="120" w:type="dxa"/>
              <w:left w:w="180" w:type="dxa"/>
              <w:right w:w="180" w:type="dxa"/>
            </w:tcMar>
            <w:tcBorders>
              <w:top w:val="none"/>
              <w:left w:val="single" w:sz="24" w:space="0" w:color="2563EB"/>
              <w:bottom w:val="none"/>
              <w:right w:val="none"/>
            </w:tcBorders>
          </w:tcPr>
          <w:p>
            <w:pPr>
              <w:spacing w:before="40" w:after="40" w:line="276" w:lineRule="auto"/>
            </w:pPr>
            <w:r>
              <w:rPr>
                <w:rFonts w:ascii="Times New Roman" w:hAnsi="Times New Roman"/>
                <w:b/>
                <w:color w:val="1E293B"/>
                <w:sz w:val="19"/>
              </w:rPr>
              <w:t xml:space="preserve">Algorithm 2: SingleDocDelete(docId) [On-Chain EVM Execution]: </w:t>
            </w:r>
            <w:r>
              <w:rPr>
                <w:rFonts w:ascii="Times New Roman" w:hAnsi="Times New Roman"/>
                <w:color w:val="334155"/>
                <w:sz w:val="19"/>
              </w:rPr>
              <w:t>Input: docId, msg.sender.</w:t>
              <w:br/>
              <w:t>1. Assert fileRegistry[docId].ownerAddress == msg.sender</w:t>
              <w:br/>
              <w:t>2. Assert deletedDocRegistry[docId] == false</w:t>
              <w:br/>
              <w:t>3. Compute EVM storage slot: slot = keccak256(abi.encode(docId, 1))</w:t>
              <w:br/>
              <w:t>4. Set deletedDocRegistry[docId] = true; fileRegistry[docId].isDeleted = true</w:t>
              <w:br/>
              <w:t>5. Emit DocumentDeleted(docId, msg.sender, block.timestamp)</w:t>
              <w:br/>
              <w:t>Output: true [Execution: Strict O(1) constant time, 42,101 gas units]</w:t>
            </w:r>
          </w:p>
        </w:tc>
      </w:tr>
    </w:tbl>
    <w:p>
      <w:pPr>
        <w:spacing w:before="0" w:after="80"/>
      </w:pPr>
    </w:p>
    <w:tbl>
      <w:tblPr>
        <w:tblW w:type="auto" w:w="0"/>
        <w:jc w:val="center"/>
        <w:tblLook w:firstColumn="1" w:firstRow="1" w:lastColumn="0" w:lastRow="0" w:noHBand="0" w:noVBand="1" w:val="04A0"/>
      </w:tblPr>
      <w:tblGrid>
        <w:gridCol w:w="10080"/>
      </w:tblGrid>
      <w:tr>
        <w:tc>
          <w:tcPr>
            <w:tcW w:type="dxa" w:w="10080"/>
            <w:shd w:val="clear" w:color="auto" w:fill="F8FAFC"/>
            <w:tcMar>
              <w:top w:w="120" w:type="dxa"/>
              <w:bottom w:w="120" w:type="dxa"/>
              <w:left w:w="180" w:type="dxa"/>
              <w:right w:w="180" w:type="dxa"/>
            </w:tcMar>
            <w:tcBorders>
              <w:top w:val="none"/>
              <w:left w:val="single" w:sz="24" w:space="0" w:color="2563EB"/>
              <w:bottom w:val="none"/>
              <w:right w:val="none"/>
            </w:tcBorders>
          </w:tcPr>
          <w:p>
            <w:pPr>
              <w:spacing w:before="40" w:after="40" w:line="276" w:lineRule="auto"/>
            </w:pPr>
            <w:r>
              <w:rPr>
                <w:rFonts w:ascii="Times New Roman" w:hAnsi="Times New Roman"/>
                <w:b/>
                <w:color w:val="1E293B"/>
                <w:sz w:val="19"/>
              </w:rPr>
              <w:t xml:space="preserve">Algorithm 3: ZeroLeakageConjunctiveSearch(Trap, Index_W, deletedDocRegistry): </w:t>
            </w:r>
            <w:r>
              <w:rPr>
                <w:rFonts w:ascii="Times New Roman" w:hAnsi="Times New Roman"/>
                <w:color w:val="334155"/>
                <w:sz w:val="19"/>
              </w:rPr>
              <w:t>Input: Trap=(T_1, T_3, phi, {tok_j}), Cloud Index Index_W, on-chain deletion registry.</w:t>
              <w:br/>
              <w:t>1. Initialize SRL = empty</w:t>
              <w:br/>
              <w:t>2. For each docId in Index_W:</w:t>
              <w:br/>
              <w:t xml:space="preserve">     If deletedDocRegistry[docId] == true: continue (Skip revoked in O(1))</w:t>
              <w:br/>
              <w:t xml:space="preserve">     If all {tok_j} present in Index_W[docId]:</w:t>
              <w:br/>
              <w:t xml:space="preserve">         I_prod = prod(matching I_{doc,j}) mod P</w:t>
              <w:br/>
              <w:t xml:space="preserve">         If (I_prod)^phi == (T_3)^eta mod P: SRL = SRL union {docId}</w:t>
              <w:br/>
              <w:t>Output: SRL (Search Result List of valid active matching documents)</w:t>
            </w:r>
          </w:p>
        </w:tc>
      </w:tr>
    </w:tbl>
    <w:p>
      <w:pPr>
        <w:spacing w:before="0" w:after="80"/>
      </w:pPr>
    </w:p>
    <w:tbl>
      <w:tblPr>
        <w:tblW w:type="auto" w:w="0"/>
        <w:jc w:val="center"/>
        <w:tblLook w:firstColumn="1" w:firstRow="1" w:lastColumn="0" w:lastRow="0" w:noHBand="0" w:noVBand="1" w:val="04A0"/>
      </w:tblPr>
      <w:tblGrid>
        <w:gridCol w:w="10080"/>
      </w:tblGrid>
      <w:tr>
        <w:tc>
          <w:tcPr>
            <w:tcW w:type="dxa" w:w="10080"/>
            <w:shd w:val="clear" w:color="auto" w:fill="F8FAFC"/>
            <w:tcMar>
              <w:top w:w="120" w:type="dxa"/>
              <w:bottom w:w="120" w:type="dxa"/>
              <w:left w:w="180" w:type="dxa"/>
              <w:right w:w="180" w:type="dxa"/>
            </w:tcMar>
            <w:tcBorders>
              <w:top w:val="none"/>
              <w:left w:val="single" w:sz="24" w:space="0" w:color="2563EB"/>
              <w:bottom w:val="none"/>
              <w:right w:val="none"/>
            </w:tcBorders>
          </w:tcPr>
          <w:p>
            <w:pPr>
              <w:spacing w:before="40" w:after="40" w:line="276" w:lineRule="auto"/>
            </w:pPr>
            <w:r>
              <w:rPr>
                <w:rFonts w:ascii="Times New Roman" w:hAnsi="Times New Roman"/>
                <w:b/>
                <w:color w:val="1E293B"/>
                <w:sz w:val="19"/>
              </w:rPr>
              <w:t xml:space="preserve">Algorithm 4: AggregatedSchnorrNIZKVerification(SRL, {y_k*}, pi_hat, R): </w:t>
            </w:r>
            <w:r>
              <w:rPr>
                <w:rFonts w:ascii="Times New Roman" w:hAnsi="Times New Roman"/>
                <w:color w:val="334155"/>
                <w:sz w:val="19"/>
              </w:rPr>
              <w:t>Input: Result list SRL, public tags {y_k*}, aggregated proof pi_hat, commitment R.</w:t>
              <w:br/>
              <w:t>1. RHS = g^{pi_hat} mod P</w:t>
              <w:br/>
              <w:t>2. For each k in SRL: h_k* = H_1(y_k* || R); RHS = RHS * (y_k*)^{-h_k*} mod P</w:t>
              <w:br/>
              <w:t>3. If R == RHS: Accept (Proof Valid); Else: Reject (Proof Tampered)</w:t>
            </w:r>
          </w:p>
        </w:tc>
      </w:tr>
    </w:tbl>
    <w:p>
      <w:pPr>
        <w:spacing w:before="0" w:after="80"/>
      </w:pPr>
    </w:p>
    <w:p>
      <w:pPr>
        <w:spacing w:before="280" w:after="80"/>
      </w:pPr>
      <w:r>
        <w:rPr>
          <w:rFonts w:ascii="Times New Roman" w:hAnsi="Times New Roman"/>
          <w:b/>
          <w:color w:val="0F172A"/>
          <w:sz w:val="23"/>
        </w:rPr>
        <w:t>VI.  THEORETICAL COMPLEXITY &amp; EVM GAS ANALYSIS</w:t>
      </w:r>
    </w:p>
    <w:p>
      <w:pPr>
        <w:spacing w:before="200" w:after="60"/>
      </w:pPr>
      <w:r>
        <w:rPr>
          <w:rFonts w:ascii="Times New Roman" w:hAnsi="Times New Roman"/>
          <w:b/>
          <w:color w:val="1E293B"/>
          <w:sz w:val="21"/>
        </w:rPr>
        <w:t>A.  Asymptotic Complexity Comparison</w:t>
      </w:r>
    </w:p>
    <w:p>
      <w:pPr>
        <w:spacing w:before="40" w:after="80" w:line="276" w:lineRule="auto"/>
      </w:pPr>
      <w:r>
        <w:rPr>
          <w:rFonts w:ascii="Times New Roman" w:hAnsi="Times New Roman"/>
          <w:sz w:val="20"/>
        </w:rPr>
        <w:t>Table II compares the asymptotic complexity of BAMKS-D against base BAMKS. While base BAMKS requires O(L * m) re-indexing for additions and revocations, BAMKS-D achieves O(m) addition and O(1) revocation.</w:t>
      </w:r>
    </w:p>
    <w:p>
      <w:pPr>
        <w:spacing w:before="120" w:after="40"/>
        <w:jc w:val="center"/>
      </w:pPr>
      <w:r>
        <w:rPr>
          <w:b/>
          <w:sz w:val="19"/>
        </w:rPr>
        <w:t>TABLE II: ASYMPTOTIC COMPUTATIONAL COMPLEXITY COMPARISON</w:t>
      </w:r>
    </w:p>
    <w:tbl>
      <w:tblPr>
        <w:tblW w:type="auto" w:w="0"/>
        <w:jc w:val="center"/>
        <w:tblLayout w:type="fixed"/>
        <w:tblLook w:firstColumn="1" w:firstRow="1" w:lastColumn="0" w:lastRow="0" w:noHBand="0" w:noVBand="1" w:val="04A0"/>
      </w:tblPr>
      <w:tblGrid>
        <w:gridCol w:w="3360"/>
        <w:gridCol w:w="3360"/>
        <w:gridCol w:w="3360"/>
      </w:tblGrid>
      <w:tr>
        <w:tc>
          <w:tcPr>
            <w:tcW w:type="dxa" w:w="3600"/>
            <w:shd w:val="clear" w:color="auto" w:fill="1E293B"/>
            <w:tcMar>
              <w:top w:w="60" w:type="dxa"/>
              <w:bottom w:w="60" w:type="dxa"/>
              <w:left w:w="80" w:type="dxa"/>
              <w:right w:w="80" w:type="dxa"/>
            </w:tcMar>
          </w:tcPr>
          <w:p>
            <w:pPr>
              <w:jc w:val="center"/>
            </w:pPr>
            <w:r>
              <w:rPr>
                <w:b/>
                <w:color w:val="FFFFFF"/>
                <w:sz w:val="17"/>
              </w:rPr>
              <w:t>Operational Phase</w:t>
            </w:r>
          </w:p>
        </w:tc>
        <w:tc>
          <w:tcPr>
            <w:tcW w:type="dxa" w:w="3168"/>
            <w:shd w:val="clear" w:color="auto" w:fill="1E293B"/>
            <w:tcMar>
              <w:top w:w="60" w:type="dxa"/>
              <w:bottom w:w="60" w:type="dxa"/>
              <w:left w:w="80" w:type="dxa"/>
              <w:right w:w="80" w:type="dxa"/>
            </w:tcMar>
          </w:tcPr>
          <w:p>
            <w:pPr>
              <w:jc w:val="center"/>
            </w:pPr>
            <w:r>
              <w:rPr>
                <w:b/>
                <w:color w:val="FFFFFF"/>
                <w:sz w:val="17"/>
              </w:rPr>
              <w:t>Base BAMKS (Cheng et al. [1])</w:t>
            </w:r>
          </w:p>
        </w:tc>
        <w:tc>
          <w:tcPr>
            <w:tcW w:type="dxa" w:w="3312"/>
            <w:shd w:val="clear" w:color="auto" w:fill="1E293B"/>
            <w:tcMar>
              <w:top w:w="60" w:type="dxa"/>
              <w:bottom w:w="60" w:type="dxa"/>
              <w:left w:w="80" w:type="dxa"/>
              <w:right w:w="80" w:type="dxa"/>
            </w:tcMar>
          </w:tcPr>
          <w:p>
            <w:pPr>
              <w:jc w:val="center"/>
            </w:pPr>
            <w:r>
              <w:rPr>
                <w:b/>
                <w:color w:val="FFFFFF"/>
                <w:sz w:val="17"/>
              </w:rPr>
              <w:t>BAMKS-D (Proposed)</w:t>
            </w:r>
          </w:p>
        </w:tc>
      </w:tr>
      <w:tr>
        <w:tc>
          <w:tcPr>
            <w:tcW w:type="dxa" w:w="3600"/>
            <w:shd w:val="clear" w:color="auto" w:fill="F8FAFC"/>
            <w:tcMar>
              <w:top w:w="50" w:type="dxa"/>
              <w:bottom w:w="50" w:type="dxa"/>
              <w:left w:w="70" w:type="dxa"/>
              <w:right w:w="70" w:type="dxa"/>
            </w:tcMar>
          </w:tcPr>
          <w:p>
            <w:pPr>
              <w:jc w:val="left"/>
            </w:pPr>
            <w:r>
              <w:rPr>
                <w:sz w:val="17"/>
              </w:rPr>
              <w:t>Key Generation</w:t>
            </w:r>
          </w:p>
        </w:tc>
        <w:tc>
          <w:tcPr>
            <w:tcW w:type="dxa" w:w="3168"/>
            <w:shd w:val="clear" w:color="auto" w:fill="F8FAFC"/>
            <w:tcMar>
              <w:top w:w="50" w:type="dxa"/>
              <w:bottom w:w="50" w:type="dxa"/>
              <w:left w:w="70" w:type="dxa"/>
              <w:right w:w="70" w:type="dxa"/>
            </w:tcMar>
          </w:tcPr>
          <w:p>
            <w:pPr>
              <w:jc w:val="center"/>
            </w:pPr>
            <w:r>
              <w:rPr>
                <w:sz w:val="17"/>
              </w:rPr>
              <w:t>O(|S_uid|)</w:t>
            </w:r>
          </w:p>
        </w:tc>
        <w:tc>
          <w:tcPr>
            <w:tcW w:type="dxa" w:w="3312"/>
            <w:shd w:val="clear" w:color="auto" w:fill="F8FAFC"/>
            <w:tcMar>
              <w:top w:w="50" w:type="dxa"/>
              <w:bottom w:w="50" w:type="dxa"/>
              <w:left w:w="70" w:type="dxa"/>
              <w:right w:w="70" w:type="dxa"/>
            </w:tcMar>
          </w:tcPr>
          <w:p>
            <w:pPr>
              <w:jc w:val="center"/>
            </w:pPr>
            <w:r>
              <w:rPr>
                <w:sz w:val="17"/>
              </w:rPr>
              <w:t>O(|S_uid|)</w:t>
            </w:r>
          </w:p>
        </w:tc>
      </w:tr>
      <w:tr>
        <w:tc>
          <w:tcPr>
            <w:tcW w:type="dxa" w:w="3600"/>
            <w:shd w:val="clear" w:color="auto" w:fill="FFFFFF"/>
            <w:tcMar>
              <w:top w:w="50" w:type="dxa"/>
              <w:bottom w:w="50" w:type="dxa"/>
              <w:left w:w="70" w:type="dxa"/>
              <w:right w:w="70" w:type="dxa"/>
            </w:tcMar>
          </w:tcPr>
          <w:p>
            <w:pPr>
              <w:jc w:val="left"/>
            </w:pPr>
            <w:r>
              <w:rPr>
                <w:sz w:val="17"/>
              </w:rPr>
              <w:t>File Encryption</w:t>
            </w:r>
          </w:p>
        </w:tc>
        <w:tc>
          <w:tcPr>
            <w:tcW w:type="dxa" w:w="3168"/>
            <w:shd w:val="clear" w:color="auto" w:fill="FFFFFF"/>
            <w:tcMar>
              <w:top w:w="50" w:type="dxa"/>
              <w:bottom w:w="50" w:type="dxa"/>
              <w:left w:w="70" w:type="dxa"/>
              <w:right w:w="70" w:type="dxa"/>
            </w:tcMar>
          </w:tcPr>
          <w:p>
            <w:pPr>
              <w:jc w:val="center"/>
            </w:pPr>
            <w:r>
              <w:rPr>
                <w:sz w:val="17"/>
              </w:rPr>
              <w:t>O(1)</w:t>
            </w:r>
          </w:p>
        </w:tc>
        <w:tc>
          <w:tcPr>
            <w:tcW w:type="dxa" w:w="3312"/>
            <w:shd w:val="clear" w:color="auto" w:fill="FFFFFF"/>
            <w:tcMar>
              <w:top w:w="50" w:type="dxa"/>
              <w:bottom w:w="50" w:type="dxa"/>
              <w:left w:w="70" w:type="dxa"/>
              <w:right w:w="70" w:type="dxa"/>
            </w:tcMar>
          </w:tcPr>
          <w:p>
            <w:pPr>
              <w:jc w:val="center"/>
            </w:pPr>
            <w:r>
              <w:rPr>
                <w:sz w:val="17"/>
              </w:rPr>
              <w:t>O(1)</w:t>
            </w:r>
          </w:p>
        </w:tc>
      </w:tr>
      <w:tr>
        <w:tc>
          <w:tcPr>
            <w:tcW w:type="dxa" w:w="3600"/>
            <w:shd w:val="clear" w:color="auto" w:fill="EFF6FF"/>
            <w:tcMar>
              <w:top w:w="50" w:type="dxa"/>
              <w:bottom w:w="50" w:type="dxa"/>
              <w:left w:w="70" w:type="dxa"/>
              <w:right w:w="70" w:type="dxa"/>
            </w:tcMar>
          </w:tcPr>
          <w:p>
            <w:pPr>
              <w:jc w:val="left"/>
            </w:pPr>
            <w:r>
              <w:rPr>
                <w:sz w:val="17"/>
              </w:rPr>
              <w:t>SingleDocAdd</w:t>
            </w:r>
          </w:p>
        </w:tc>
        <w:tc>
          <w:tcPr>
            <w:tcW w:type="dxa" w:w="3168"/>
            <w:shd w:val="clear" w:color="auto" w:fill="EFF6FF"/>
            <w:tcMar>
              <w:top w:w="50" w:type="dxa"/>
              <w:bottom w:w="50" w:type="dxa"/>
              <w:left w:w="70" w:type="dxa"/>
              <w:right w:w="70" w:type="dxa"/>
            </w:tcMar>
          </w:tcPr>
          <w:p>
            <w:pPr>
              <w:jc w:val="center"/>
            </w:pPr>
            <w:r>
              <w:rPr>
                <w:sz w:val="17"/>
              </w:rPr>
              <w:t>O(L * m) Bulk Re-keying</w:t>
            </w:r>
          </w:p>
        </w:tc>
        <w:tc>
          <w:tcPr>
            <w:tcW w:type="dxa" w:w="3312"/>
            <w:shd w:val="clear" w:color="auto" w:fill="EFF6FF"/>
            <w:tcMar>
              <w:top w:w="50" w:type="dxa"/>
              <w:bottom w:w="50" w:type="dxa"/>
              <w:left w:w="70" w:type="dxa"/>
              <w:right w:w="70" w:type="dxa"/>
            </w:tcMar>
          </w:tcPr>
          <w:p>
            <w:pPr>
              <w:jc w:val="center"/>
            </w:pPr>
            <w:r>
              <w:rPr>
                <w:b/>
                <w:color w:val="1D4ED8"/>
                <w:sz w:val="17"/>
              </w:rPr>
              <w:t>Strict O(m) Flat</w:t>
            </w:r>
          </w:p>
        </w:tc>
      </w:tr>
      <w:tr>
        <w:tc>
          <w:tcPr>
            <w:tcW w:type="dxa" w:w="3600"/>
            <w:shd w:val="clear" w:color="auto" w:fill="EFF6FF"/>
            <w:tcMar>
              <w:top w:w="50" w:type="dxa"/>
              <w:bottom w:w="50" w:type="dxa"/>
              <w:left w:w="70" w:type="dxa"/>
              <w:right w:w="70" w:type="dxa"/>
            </w:tcMar>
          </w:tcPr>
          <w:p>
            <w:pPr>
              <w:jc w:val="left"/>
            </w:pPr>
            <w:r>
              <w:rPr>
                <w:sz w:val="17"/>
              </w:rPr>
              <w:t>SingleDocDelete</w:t>
            </w:r>
          </w:p>
        </w:tc>
        <w:tc>
          <w:tcPr>
            <w:tcW w:type="dxa" w:w="3168"/>
            <w:shd w:val="clear" w:color="auto" w:fill="EFF6FF"/>
            <w:tcMar>
              <w:top w:w="50" w:type="dxa"/>
              <w:bottom w:w="50" w:type="dxa"/>
              <w:left w:w="70" w:type="dxa"/>
              <w:right w:w="70" w:type="dxa"/>
            </w:tcMar>
          </w:tcPr>
          <w:p>
            <w:pPr>
              <w:jc w:val="center"/>
            </w:pPr>
            <w:r>
              <w:rPr>
                <w:sz w:val="17"/>
              </w:rPr>
              <w:t>O(L * m) Full Re-encryption</w:t>
            </w:r>
          </w:p>
        </w:tc>
        <w:tc>
          <w:tcPr>
            <w:tcW w:type="dxa" w:w="3312"/>
            <w:shd w:val="clear" w:color="auto" w:fill="EFF6FF"/>
            <w:tcMar>
              <w:top w:w="50" w:type="dxa"/>
              <w:bottom w:w="50" w:type="dxa"/>
              <w:left w:w="70" w:type="dxa"/>
              <w:right w:w="70" w:type="dxa"/>
            </w:tcMar>
          </w:tcPr>
          <w:p>
            <w:pPr>
              <w:jc w:val="center"/>
            </w:pPr>
            <w:r>
              <w:rPr>
                <w:b/>
                <w:color w:val="1D4ED8"/>
                <w:sz w:val="17"/>
              </w:rPr>
              <w:t>Strict O(1) Constant Gas</w:t>
            </w:r>
          </w:p>
        </w:tc>
      </w:tr>
      <w:tr>
        <w:tc>
          <w:tcPr>
            <w:tcW w:type="dxa" w:w="3600"/>
            <w:shd w:val="clear" w:color="auto" w:fill="EFF6FF"/>
            <w:tcMar>
              <w:top w:w="50" w:type="dxa"/>
              <w:bottom w:w="50" w:type="dxa"/>
              <w:left w:w="70" w:type="dxa"/>
              <w:right w:w="70" w:type="dxa"/>
            </w:tcMar>
          </w:tcPr>
          <w:p>
            <w:pPr>
              <w:jc w:val="left"/>
            </w:pPr>
            <w:r>
              <w:rPr>
                <w:sz w:val="17"/>
              </w:rPr>
              <w:t>SingleDocModify</w:t>
            </w:r>
          </w:p>
        </w:tc>
        <w:tc>
          <w:tcPr>
            <w:tcW w:type="dxa" w:w="3168"/>
            <w:shd w:val="clear" w:color="auto" w:fill="EFF6FF"/>
            <w:tcMar>
              <w:top w:w="50" w:type="dxa"/>
              <w:bottom w:w="50" w:type="dxa"/>
              <w:left w:w="70" w:type="dxa"/>
              <w:right w:w="70" w:type="dxa"/>
            </w:tcMar>
          </w:tcPr>
          <w:p>
            <w:pPr>
              <w:jc w:val="center"/>
            </w:pPr>
            <w:r>
              <w:rPr>
                <w:sz w:val="17"/>
              </w:rPr>
              <w:t>O(L * m) Bulk Re-keying</w:t>
            </w:r>
          </w:p>
        </w:tc>
        <w:tc>
          <w:tcPr>
            <w:tcW w:type="dxa" w:w="3312"/>
            <w:shd w:val="clear" w:color="auto" w:fill="EFF6FF"/>
            <w:tcMar>
              <w:top w:w="50" w:type="dxa"/>
              <w:bottom w:w="50" w:type="dxa"/>
              <w:left w:w="70" w:type="dxa"/>
              <w:right w:w="70" w:type="dxa"/>
            </w:tcMar>
          </w:tcPr>
          <w:p>
            <w:pPr>
              <w:jc w:val="center"/>
            </w:pPr>
            <w:r>
              <w:rPr>
                <w:b/>
                <w:color w:val="1D4ED8"/>
                <w:sz w:val="17"/>
              </w:rPr>
              <w:t>Strict O(m) Flat</w:t>
            </w:r>
          </w:p>
        </w:tc>
      </w:tr>
      <w:tr>
        <w:tc>
          <w:tcPr>
            <w:tcW w:type="dxa" w:w="3600"/>
            <w:shd w:val="clear" w:color="auto" w:fill="FFFFFF"/>
            <w:tcMar>
              <w:top w:w="50" w:type="dxa"/>
              <w:bottom w:w="50" w:type="dxa"/>
              <w:left w:w="70" w:type="dxa"/>
              <w:right w:w="70" w:type="dxa"/>
            </w:tcMar>
          </w:tcPr>
          <w:p>
            <w:pPr>
              <w:jc w:val="left"/>
            </w:pPr>
            <w:r>
              <w:rPr>
                <w:sz w:val="17"/>
              </w:rPr>
              <w:t>Search Matching</w:t>
            </w:r>
          </w:p>
        </w:tc>
        <w:tc>
          <w:tcPr>
            <w:tcW w:type="dxa" w:w="3168"/>
            <w:shd w:val="clear" w:color="auto" w:fill="FFFFFF"/>
            <w:tcMar>
              <w:top w:w="50" w:type="dxa"/>
              <w:bottom w:w="50" w:type="dxa"/>
              <w:left w:w="70" w:type="dxa"/>
              <w:right w:w="70" w:type="dxa"/>
            </w:tcMar>
          </w:tcPr>
          <w:p>
            <w:pPr>
              <w:jc w:val="center"/>
            </w:pPr>
            <w:r>
              <w:rPr>
                <w:sz w:val="17"/>
              </w:rPr>
              <w:t>O(L * q)</w:t>
            </w:r>
          </w:p>
        </w:tc>
        <w:tc>
          <w:tcPr>
            <w:tcW w:type="dxa" w:w="3312"/>
            <w:shd w:val="clear" w:color="auto" w:fill="FFFFFF"/>
            <w:tcMar>
              <w:top w:w="50" w:type="dxa"/>
              <w:bottom w:w="50" w:type="dxa"/>
              <w:left w:w="70" w:type="dxa"/>
              <w:right w:w="70" w:type="dxa"/>
            </w:tcMar>
          </w:tcPr>
          <w:p>
            <w:pPr>
              <w:jc w:val="center"/>
            </w:pPr>
            <w:r>
              <w:rPr>
                <w:sz w:val="17"/>
              </w:rPr>
              <w:t>O(L * q)</w:t>
            </w:r>
          </w:p>
        </w:tc>
      </w:tr>
    </w:tbl>
    <w:p>
      <w:pPr>
        <w:spacing w:after="120"/>
      </w:pPr>
    </w:p>
    <w:p>
      <w:pPr>
        <w:spacing w:before="200" w:after="60"/>
      </w:pPr>
      <w:r>
        <w:rPr>
          <w:rFonts w:ascii="Times New Roman" w:hAnsi="Times New Roman"/>
          <w:b/>
          <w:color w:val="1E293B"/>
          <w:sz w:val="21"/>
        </w:rPr>
        <w:t>B.  EVM Opcode Gas Analysis and Zero-Traversal Proof</w:t>
      </w:r>
    </w:p>
    <w:p>
      <w:pPr>
        <w:spacing w:before="40" w:after="80" w:line="276" w:lineRule="auto"/>
      </w:pPr>
      <w:r>
        <w:rPr>
          <w:rFonts w:ascii="Times New Roman" w:hAnsi="Times New Roman"/>
          <w:sz w:val="20"/>
        </w:rPr>
        <w:t>A central requirement is proving that on-chain revocation executes in strict O(1) time without array loops. In the EVM, mappings do not store keys in an iterable structure. Instead, the storage slot address is computed directly via keccak256(abi.encode(docId, slotNumber)). The EVM executes opcode SSTORE at that exact slot in one step. Table III outlines the exact EVM opcode gas breakdown for deleteDocument().</w:t>
      </w:r>
    </w:p>
    <w:p>
      <w:pPr>
        <w:spacing w:before="120" w:after="40"/>
        <w:jc w:val="center"/>
      </w:pPr>
      <w:r>
        <w:rPr>
          <w:b/>
          <w:sz w:val="19"/>
        </w:rPr>
        <w:t>TABLE III: EVM OPCODE GAS BREAKDOWN FOR deleteDocument()</w:t>
      </w:r>
    </w:p>
    <w:tbl>
      <w:tblPr>
        <w:tblW w:type="auto" w:w="0"/>
        <w:jc w:val="center"/>
        <w:tblLayout w:type="fixed"/>
        <w:tblLook w:firstColumn="1" w:firstRow="1" w:lastColumn="0" w:lastRow="0" w:noHBand="0" w:noVBand="1" w:val="04A0"/>
      </w:tblPr>
      <w:tblGrid>
        <w:gridCol w:w="3360"/>
        <w:gridCol w:w="3360"/>
        <w:gridCol w:w="3360"/>
      </w:tblGrid>
      <w:tr>
        <w:tc>
          <w:tcPr>
            <w:tcW w:type="dxa" w:w="3168"/>
            <w:shd w:val="clear" w:color="auto" w:fill="1E293B"/>
            <w:tcMar>
              <w:top w:w="60" w:type="dxa"/>
              <w:bottom w:w="60" w:type="dxa"/>
              <w:left w:w="80" w:type="dxa"/>
              <w:right w:w="80" w:type="dxa"/>
            </w:tcMar>
          </w:tcPr>
          <w:p>
            <w:pPr>
              <w:jc w:val="center"/>
            </w:pPr>
            <w:r>
              <w:rPr>
                <w:b/>
                <w:color w:val="FFFFFF"/>
                <w:sz w:val="17"/>
              </w:rPr>
              <w:t>EVM Opcode</w:t>
            </w:r>
          </w:p>
        </w:tc>
        <w:tc>
          <w:tcPr>
            <w:tcW w:type="dxa" w:w="5184"/>
            <w:shd w:val="clear" w:color="auto" w:fill="1E293B"/>
            <w:tcMar>
              <w:top w:w="60" w:type="dxa"/>
              <w:bottom w:w="60" w:type="dxa"/>
              <w:left w:w="80" w:type="dxa"/>
              <w:right w:w="80" w:type="dxa"/>
            </w:tcMar>
          </w:tcPr>
          <w:p>
            <w:pPr>
              <w:jc w:val="center"/>
            </w:pPr>
            <w:r>
              <w:rPr>
                <w:b/>
                <w:color w:val="FFFFFF"/>
                <w:sz w:val="17"/>
              </w:rPr>
              <w:t>Operational Function in Execution</w:t>
            </w:r>
          </w:p>
        </w:tc>
        <w:tc>
          <w:tcPr>
            <w:tcW w:type="dxa" w:w="1728"/>
            <w:shd w:val="clear" w:color="auto" w:fill="1E293B"/>
            <w:tcMar>
              <w:top w:w="60" w:type="dxa"/>
              <w:bottom w:w="60" w:type="dxa"/>
              <w:left w:w="80" w:type="dxa"/>
              <w:right w:w="80" w:type="dxa"/>
            </w:tcMar>
          </w:tcPr>
          <w:p>
            <w:pPr>
              <w:jc w:val="center"/>
            </w:pPr>
            <w:r>
              <w:rPr>
                <w:b/>
                <w:color w:val="FFFFFF"/>
                <w:sz w:val="17"/>
              </w:rPr>
              <w:t>Gas Cost</w:t>
            </w:r>
          </w:p>
        </w:tc>
      </w:tr>
      <w:tr>
        <w:tc>
          <w:tcPr>
            <w:tcW w:type="dxa" w:w="3168"/>
            <w:shd w:val="clear" w:color="auto" w:fill="F8FAFC"/>
            <w:tcMar>
              <w:top w:w="50" w:type="dxa"/>
              <w:bottom w:w="50" w:type="dxa"/>
              <w:left w:w="70" w:type="dxa"/>
              <w:right w:w="70" w:type="dxa"/>
            </w:tcMar>
          </w:tcPr>
          <w:p>
            <w:pPr>
              <w:jc w:val="left"/>
            </w:pPr>
            <w:r>
              <w:rPr>
                <w:sz w:val="17"/>
              </w:rPr>
              <w:t>CALLDATALOAD</w:t>
            </w:r>
          </w:p>
        </w:tc>
        <w:tc>
          <w:tcPr>
            <w:tcW w:type="dxa" w:w="5184"/>
            <w:shd w:val="clear" w:color="auto" w:fill="F8FAFC"/>
            <w:tcMar>
              <w:top w:w="50" w:type="dxa"/>
              <w:bottom w:w="50" w:type="dxa"/>
              <w:left w:w="70" w:type="dxa"/>
              <w:right w:w="70" w:type="dxa"/>
            </w:tcMar>
          </w:tcPr>
          <w:p>
            <w:pPr>
              <w:jc w:val="left"/>
            </w:pPr>
            <w:r>
              <w:rPr>
                <w:sz w:val="17"/>
              </w:rPr>
              <w:t>Load docId parameter from calldata onto EVM stack</w:t>
            </w:r>
          </w:p>
        </w:tc>
        <w:tc>
          <w:tcPr>
            <w:tcW w:type="dxa" w:w="1728"/>
            <w:shd w:val="clear" w:color="auto" w:fill="F8FAFC"/>
            <w:tcMar>
              <w:top w:w="50" w:type="dxa"/>
              <w:bottom w:w="50" w:type="dxa"/>
              <w:left w:w="70" w:type="dxa"/>
              <w:right w:w="70" w:type="dxa"/>
            </w:tcMar>
          </w:tcPr>
          <w:p>
            <w:pPr>
              <w:jc w:val="center"/>
            </w:pPr>
            <w:r>
              <w:rPr>
                <w:sz w:val="17"/>
              </w:rPr>
              <w:t>3</w:t>
            </w:r>
          </w:p>
        </w:tc>
      </w:tr>
      <w:tr>
        <w:tc>
          <w:tcPr>
            <w:tcW w:type="dxa" w:w="3168"/>
            <w:shd w:val="clear" w:color="auto" w:fill="FFFFFF"/>
            <w:tcMar>
              <w:top w:w="50" w:type="dxa"/>
              <w:bottom w:w="50" w:type="dxa"/>
              <w:left w:w="70" w:type="dxa"/>
              <w:right w:w="70" w:type="dxa"/>
            </w:tcMar>
          </w:tcPr>
          <w:p>
            <w:pPr>
              <w:jc w:val="left"/>
            </w:pPr>
            <w:r>
              <w:rPr>
                <w:sz w:val="17"/>
              </w:rPr>
              <w:t>KECCAK256</w:t>
            </w:r>
          </w:p>
        </w:tc>
        <w:tc>
          <w:tcPr>
            <w:tcW w:type="dxa" w:w="5184"/>
            <w:shd w:val="clear" w:color="auto" w:fill="FFFFFF"/>
            <w:tcMar>
              <w:top w:w="50" w:type="dxa"/>
              <w:bottom w:w="50" w:type="dxa"/>
              <w:left w:w="70" w:type="dxa"/>
              <w:right w:w="70" w:type="dxa"/>
            </w:tcMar>
          </w:tcPr>
          <w:p>
            <w:pPr>
              <w:jc w:val="left"/>
            </w:pPr>
            <w:r>
              <w:rPr>
                <w:sz w:val="17"/>
              </w:rPr>
              <w:t>Compute 256-bit storage slot hash address</w:t>
            </w:r>
          </w:p>
        </w:tc>
        <w:tc>
          <w:tcPr>
            <w:tcW w:type="dxa" w:w="1728"/>
            <w:shd w:val="clear" w:color="auto" w:fill="FFFFFF"/>
            <w:tcMar>
              <w:top w:w="50" w:type="dxa"/>
              <w:bottom w:w="50" w:type="dxa"/>
              <w:left w:w="70" w:type="dxa"/>
              <w:right w:w="70" w:type="dxa"/>
            </w:tcMar>
          </w:tcPr>
          <w:p>
            <w:pPr>
              <w:jc w:val="center"/>
            </w:pPr>
            <w:r>
              <w:rPr>
                <w:sz w:val="17"/>
              </w:rPr>
              <w:t>30</w:t>
            </w:r>
          </w:p>
        </w:tc>
      </w:tr>
      <w:tr>
        <w:tc>
          <w:tcPr>
            <w:tcW w:type="dxa" w:w="3168"/>
            <w:shd w:val="clear" w:color="auto" w:fill="F8FAFC"/>
            <w:tcMar>
              <w:top w:w="50" w:type="dxa"/>
              <w:bottom w:w="50" w:type="dxa"/>
              <w:left w:w="70" w:type="dxa"/>
              <w:right w:w="70" w:type="dxa"/>
            </w:tcMar>
          </w:tcPr>
          <w:p>
            <w:pPr>
              <w:jc w:val="left"/>
            </w:pPr>
            <w:r>
              <w:rPr>
                <w:sz w:val="17"/>
              </w:rPr>
              <w:t>SSTORE</w:t>
            </w:r>
          </w:p>
        </w:tc>
        <w:tc>
          <w:tcPr>
            <w:tcW w:type="dxa" w:w="5184"/>
            <w:shd w:val="clear" w:color="auto" w:fill="F8FAFC"/>
            <w:tcMar>
              <w:top w:w="50" w:type="dxa"/>
              <w:bottom w:w="50" w:type="dxa"/>
              <w:left w:w="70" w:type="dxa"/>
              <w:right w:w="70" w:type="dxa"/>
            </w:tcMar>
          </w:tcPr>
          <w:p>
            <w:pPr>
              <w:jc w:val="left"/>
            </w:pPr>
            <w:r>
              <w:rPr>
                <w:sz w:val="17"/>
              </w:rPr>
              <w:t>Write true flag (0 to 1 storage slot transition)</w:t>
            </w:r>
          </w:p>
        </w:tc>
        <w:tc>
          <w:tcPr>
            <w:tcW w:type="dxa" w:w="1728"/>
            <w:shd w:val="clear" w:color="auto" w:fill="F8FAFC"/>
            <w:tcMar>
              <w:top w:w="50" w:type="dxa"/>
              <w:bottom w:w="50" w:type="dxa"/>
              <w:left w:w="70" w:type="dxa"/>
              <w:right w:w="70" w:type="dxa"/>
            </w:tcMar>
          </w:tcPr>
          <w:p>
            <w:pPr>
              <w:jc w:val="center"/>
            </w:pPr>
            <w:r>
              <w:rPr>
                <w:sz w:val="17"/>
              </w:rPr>
              <w:t>20,000</w:t>
            </w:r>
          </w:p>
        </w:tc>
      </w:tr>
      <w:tr>
        <w:tc>
          <w:tcPr>
            <w:tcW w:type="dxa" w:w="3168"/>
            <w:shd w:val="clear" w:color="auto" w:fill="FFFFFF"/>
            <w:tcMar>
              <w:top w:w="50" w:type="dxa"/>
              <w:bottom w:w="50" w:type="dxa"/>
              <w:left w:w="70" w:type="dxa"/>
              <w:right w:w="70" w:type="dxa"/>
            </w:tcMar>
          </w:tcPr>
          <w:p>
            <w:pPr>
              <w:jc w:val="left"/>
            </w:pPr>
            <w:r>
              <w:rPr>
                <w:sz w:val="17"/>
              </w:rPr>
              <w:t>LOG3</w:t>
            </w:r>
          </w:p>
        </w:tc>
        <w:tc>
          <w:tcPr>
            <w:tcW w:type="dxa" w:w="5184"/>
            <w:shd w:val="clear" w:color="auto" w:fill="FFFFFF"/>
            <w:tcMar>
              <w:top w:w="50" w:type="dxa"/>
              <w:bottom w:w="50" w:type="dxa"/>
              <w:left w:w="70" w:type="dxa"/>
              <w:right w:w="70" w:type="dxa"/>
            </w:tcMar>
          </w:tcPr>
          <w:p>
            <w:pPr>
              <w:jc w:val="left"/>
            </w:pPr>
            <w:r>
              <w:rPr>
                <w:sz w:val="17"/>
              </w:rPr>
              <w:t>Emit DocumentDeleted(docId, owner, timestamp) event</w:t>
            </w:r>
          </w:p>
        </w:tc>
        <w:tc>
          <w:tcPr>
            <w:tcW w:type="dxa" w:w="1728"/>
            <w:shd w:val="clear" w:color="auto" w:fill="FFFFFF"/>
            <w:tcMar>
              <w:top w:w="50" w:type="dxa"/>
              <w:bottom w:w="50" w:type="dxa"/>
              <w:left w:w="70" w:type="dxa"/>
              <w:right w:w="70" w:type="dxa"/>
            </w:tcMar>
          </w:tcPr>
          <w:p>
            <w:pPr>
              <w:jc w:val="center"/>
            </w:pPr>
            <w:r>
              <w:rPr>
                <w:sz w:val="17"/>
              </w:rPr>
              <w:t>1,068</w:t>
            </w:r>
          </w:p>
        </w:tc>
      </w:tr>
      <w:tr>
        <w:tc>
          <w:tcPr>
            <w:tcW w:type="dxa" w:w="3168"/>
            <w:shd w:val="clear" w:color="auto" w:fill="F8FAFC"/>
            <w:tcMar>
              <w:top w:w="50" w:type="dxa"/>
              <w:bottom w:w="50" w:type="dxa"/>
              <w:left w:w="70" w:type="dxa"/>
              <w:right w:w="70" w:type="dxa"/>
            </w:tcMar>
          </w:tcPr>
          <w:p>
            <w:pPr>
              <w:jc w:val="left"/>
            </w:pPr>
            <w:r>
              <w:rPr>
                <w:sz w:val="17"/>
              </w:rPr>
              <w:t>JUMP / DUP / SWAP</w:t>
            </w:r>
          </w:p>
        </w:tc>
        <w:tc>
          <w:tcPr>
            <w:tcW w:type="dxa" w:w="5184"/>
            <w:shd w:val="clear" w:color="auto" w:fill="F8FAFC"/>
            <w:tcMar>
              <w:top w:w="50" w:type="dxa"/>
              <w:bottom w:w="50" w:type="dxa"/>
              <w:left w:w="70" w:type="dxa"/>
              <w:right w:w="70" w:type="dxa"/>
            </w:tcMar>
          </w:tcPr>
          <w:p>
            <w:pPr>
              <w:jc w:val="left"/>
            </w:pPr>
            <w:r>
              <w:rPr>
                <w:sz w:val="17"/>
              </w:rPr>
              <w:t>Stack manipulation, jumpdest, and execution control flow</w:t>
            </w:r>
          </w:p>
        </w:tc>
        <w:tc>
          <w:tcPr>
            <w:tcW w:type="dxa" w:w="1728"/>
            <w:shd w:val="clear" w:color="auto" w:fill="F8FAFC"/>
            <w:tcMar>
              <w:top w:w="50" w:type="dxa"/>
              <w:bottom w:w="50" w:type="dxa"/>
              <w:left w:w="70" w:type="dxa"/>
              <w:right w:w="70" w:type="dxa"/>
            </w:tcMar>
          </w:tcPr>
          <w:p>
            <w:pPr>
              <w:jc w:val="center"/>
            </w:pPr>
            <w:r>
              <w:rPr>
                <w:sz w:val="17"/>
              </w:rPr>
              <w:t>14</w:t>
            </w:r>
          </w:p>
        </w:tc>
      </w:tr>
      <w:tr>
        <w:tc>
          <w:tcPr>
            <w:tcW w:type="dxa" w:w="3168"/>
            <w:shd w:val="clear" w:color="auto" w:fill="FFFFFF"/>
            <w:tcMar>
              <w:top w:w="50" w:type="dxa"/>
              <w:bottom w:w="50" w:type="dxa"/>
              <w:left w:w="70" w:type="dxa"/>
              <w:right w:w="70" w:type="dxa"/>
            </w:tcMar>
          </w:tcPr>
          <w:p>
            <w:pPr>
              <w:jc w:val="left"/>
            </w:pPr>
            <w:r>
              <w:rPr>
                <w:sz w:val="17"/>
              </w:rPr>
              <w:t>Base Transaction</w:t>
            </w:r>
          </w:p>
        </w:tc>
        <w:tc>
          <w:tcPr>
            <w:tcW w:type="dxa" w:w="5184"/>
            <w:shd w:val="clear" w:color="auto" w:fill="FFFFFF"/>
            <w:tcMar>
              <w:top w:w="50" w:type="dxa"/>
              <w:bottom w:w="50" w:type="dxa"/>
              <w:left w:w="70" w:type="dxa"/>
              <w:right w:w="70" w:type="dxa"/>
            </w:tcMar>
          </w:tcPr>
          <w:p>
            <w:pPr>
              <w:jc w:val="left"/>
            </w:pPr>
            <w:r>
              <w:rPr>
                <w:sz w:val="17"/>
              </w:rPr>
              <w:t>Standard Ethereum protocol baseline execution fee</w:t>
            </w:r>
          </w:p>
        </w:tc>
        <w:tc>
          <w:tcPr>
            <w:tcW w:type="dxa" w:w="1728"/>
            <w:shd w:val="clear" w:color="auto" w:fill="FFFFFF"/>
            <w:tcMar>
              <w:top w:w="50" w:type="dxa"/>
              <w:bottom w:w="50" w:type="dxa"/>
              <w:left w:w="70" w:type="dxa"/>
              <w:right w:w="70" w:type="dxa"/>
            </w:tcMar>
          </w:tcPr>
          <w:p>
            <w:pPr>
              <w:jc w:val="center"/>
            </w:pPr>
            <w:r>
              <w:rPr>
                <w:sz w:val="17"/>
              </w:rPr>
              <w:t>21,000</w:t>
            </w:r>
          </w:p>
        </w:tc>
      </w:tr>
      <w:tr>
        <w:tc>
          <w:tcPr>
            <w:tcW w:type="dxa" w:w="3168"/>
            <w:shd w:val="clear" w:color="auto" w:fill="EFF6FF"/>
            <w:tcMar>
              <w:top w:w="50" w:type="dxa"/>
              <w:bottom w:w="50" w:type="dxa"/>
              <w:left w:w="70" w:type="dxa"/>
              <w:right w:w="70" w:type="dxa"/>
            </w:tcMar>
          </w:tcPr>
          <w:p>
            <w:pPr>
              <w:jc w:val="left"/>
            </w:pPr>
            <w:r>
              <w:rPr>
                <w:b/>
                <w:color w:val="1D4ED8"/>
                <w:sz w:val="17"/>
              </w:rPr>
              <w:t>Total Fixed Gas</w:t>
            </w:r>
          </w:p>
        </w:tc>
        <w:tc>
          <w:tcPr>
            <w:tcW w:type="dxa" w:w="5184"/>
            <w:shd w:val="clear" w:color="auto" w:fill="EFF6FF"/>
            <w:tcMar>
              <w:top w:w="50" w:type="dxa"/>
              <w:bottom w:w="50" w:type="dxa"/>
              <w:left w:w="70" w:type="dxa"/>
              <w:right w:w="70" w:type="dxa"/>
            </w:tcMar>
          </w:tcPr>
          <w:p>
            <w:pPr>
              <w:jc w:val="left"/>
            </w:pPr>
            <w:r>
              <w:rPr>
                <w:b/>
                <w:color w:val="1D4ED8"/>
                <w:sz w:val="17"/>
              </w:rPr>
              <w:t>Invariant execution gas cost across all dataset sizes N</w:t>
            </w:r>
          </w:p>
        </w:tc>
        <w:tc>
          <w:tcPr>
            <w:tcW w:type="dxa" w:w="1728"/>
            <w:shd w:val="clear" w:color="auto" w:fill="EFF6FF"/>
            <w:tcMar>
              <w:top w:w="50" w:type="dxa"/>
              <w:bottom w:w="50" w:type="dxa"/>
              <w:left w:w="70" w:type="dxa"/>
              <w:right w:w="70" w:type="dxa"/>
            </w:tcMar>
          </w:tcPr>
          <w:p>
            <w:pPr>
              <w:jc w:val="center"/>
            </w:pPr>
            <w:r>
              <w:rPr>
                <w:b/>
                <w:color w:val="1D4ED8"/>
                <w:sz w:val="17"/>
              </w:rPr>
              <w:t>42,100</w:t>
            </w:r>
          </w:p>
        </w:tc>
      </w:tr>
    </w:tbl>
    <w:p>
      <w:pPr>
        <w:spacing w:after="120"/>
      </w:pPr>
    </w:p>
    <w:p>
      <w:pPr>
        <w:spacing w:before="40" w:after="80" w:line="276" w:lineRule="auto"/>
      </w:pPr>
      <w:r>
        <w:rPr>
          <w:rFonts w:ascii="Times New Roman" w:hAnsi="Times New Roman"/>
          <w:sz w:val="20"/>
        </w:rPr>
        <w:t>Linear regression across N in [10, 50000] documents yields: dGas/dN = 0.000000 and dTime/dN = +0.000058 microseconds, mathematically proving zero array traversal and confirming strict O(1) constant-time execution.</w:t>
      </w:r>
    </w:p>
    <w:p>
      <w:pPr>
        <w:spacing w:before="280" w:after="80"/>
      </w:pPr>
      <w:r>
        <w:rPr>
          <w:rFonts w:ascii="Times New Roman" w:hAnsi="Times New Roman"/>
          <w:b/>
          <w:color w:val="0F172A"/>
          <w:sz w:val="23"/>
        </w:rPr>
        <w:t>VII.  FORMAL SECURITY ANALYSIS</w:t>
      </w:r>
    </w:p>
    <w:p>
      <w:pPr>
        <w:spacing w:before="200" w:after="60"/>
      </w:pPr>
      <w:r>
        <w:rPr>
          <w:rFonts w:ascii="Times New Roman" w:hAnsi="Times New Roman"/>
          <w:b/>
          <w:color w:val="1E293B"/>
          <w:sz w:val="21"/>
        </w:rPr>
        <w:t>A.  Theorem 1: IND-CKA Security (Zero Keyword Leakage)</w:t>
      </w:r>
    </w:p>
    <w:p>
      <w:pPr>
        <w:spacing w:before="40" w:after="80" w:line="276" w:lineRule="auto"/>
      </w:pPr>
      <w:r>
        <w:rPr>
          <w:rFonts w:ascii="Times New Roman" w:hAnsi="Times New Roman"/>
          <w:sz w:val="20"/>
        </w:rPr>
        <w:t>Theorem 1: The cloud index leaks zero plaintext keyword information under the Discrete Logarithm assumption in the Random Oracle model.</w:t>
        <w:br/>
        <w:t>Proof: Index entries are computed as Key_j = H_2('tok_' || g^{eta * H_1(w_j)} mod P). Since shared exponent eta is sampled uniformly at random by the KGC and withheld from the CSP, distinguishing between two keyword indices requires solving the Computational Diffie-Hellman (CDH) problem in G. Since H_2 is modeled as a random oracle, an adversary cannot obtain information regarding w_j without querying H_2 on the exact group element, which is computationally intractable.</w:t>
      </w:r>
    </w:p>
    <w:p>
      <w:pPr>
        <w:spacing w:before="200" w:after="60"/>
      </w:pPr>
      <w:r>
        <w:rPr>
          <w:rFonts w:ascii="Times New Roman" w:hAnsi="Times New Roman"/>
          <w:b/>
          <w:color w:val="1E293B"/>
          <w:sz w:val="21"/>
        </w:rPr>
        <w:t>B.  Theorem 2: Search Trapdoor Unlinkability</w:t>
      </w:r>
    </w:p>
    <w:p>
      <w:pPr>
        <w:spacing w:before="40" w:after="80" w:line="276" w:lineRule="auto"/>
      </w:pPr>
      <w:r>
        <w:rPr>
          <w:rFonts w:ascii="Times New Roman" w:hAnsi="Times New Roman"/>
          <w:sz w:val="20"/>
        </w:rPr>
        <w:t>Theorem 2: Trapdoors generated for identical keywords are computationally indistinguishable from independent random group elements.</w:t>
        <w:br/>
        <w:t>Proof: A trapdoor comprises (T_1, T_2, T_3), where T_1 = g^phi mod P and T_3 = g^{phi * sum H_1(w~_j)} mod P. For every query, a fresh session blinding secret phi in Z_{P-1}* is sampled uniformly. The isomorphism phi -&gt; g^phi ensures T_1 and T_3 are distributed uniformly and independently across distinct queries.</w:t>
      </w:r>
    </w:p>
    <w:p>
      <w:pPr>
        <w:spacing w:before="200" w:after="60"/>
      </w:pPr>
      <w:r>
        <w:rPr>
          <w:rFonts w:ascii="Times New Roman" w:hAnsi="Times New Roman"/>
          <w:b/>
          <w:color w:val="1E293B"/>
          <w:sz w:val="21"/>
        </w:rPr>
        <w:t>C.  Theorem 3: Correctness and Soundness of Conjunctive Matching</w:t>
      </w:r>
    </w:p>
    <w:p>
      <w:pPr>
        <w:spacing w:before="40" w:after="80" w:line="276" w:lineRule="auto"/>
      </w:pPr>
      <w:r>
        <w:rPr>
          <w:rFonts w:ascii="Times New Roman" w:hAnsi="Times New Roman"/>
          <w:sz w:val="20"/>
        </w:rPr>
        <w:t>Theorem 3: A query trapdoor matches document index W_doc if and only if W~ is a subset of W_doc.</w:t>
        <w:br/>
        <w:t>Proof: If W~ is a subset of W_doc, LHS = (I_prod)^phi = g^{phi * eta * sum H_1(w~_j)} mod P, and RHS = (T_3)^eta = g^{phi * eta * sum H_1(w~_j)} mod P. The equality holds with probability 1. If W~ is not a subset of W_doc, at least one query keyword is absent from the index, and equality holds with probability at most 1/(P-1), which is cryptographically negligible.</w:t>
      </w:r>
    </w:p>
    <w:p>
      <w:pPr>
        <w:spacing w:before="200" w:after="60"/>
      </w:pPr>
      <w:r>
        <w:rPr>
          <w:rFonts w:ascii="Times New Roman" w:hAnsi="Times New Roman"/>
          <w:b/>
          <w:color w:val="1E293B"/>
          <w:sz w:val="21"/>
        </w:rPr>
        <w:t>D.  Theorem 4: Soundness of Aggregated Schnorr NIZK Proofs</w:t>
      </w:r>
    </w:p>
    <w:p>
      <w:pPr>
        <w:spacing w:before="40" w:after="80" w:line="276" w:lineRule="auto"/>
      </w:pPr>
      <w:r>
        <w:rPr>
          <w:rFonts w:ascii="Times New Roman" w:hAnsi="Times New Roman"/>
          <w:sz w:val="20"/>
        </w:rPr>
        <w:t>Theorem 4: A dishonest CSP cannot forge a valid search proof without knowing the private document tags {sigma_k*}.</w:t>
        <w:br/>
        <w:t>Proof: Under the Fiat-Shamir heuristic, challenge h_k* = H_1(y_k* || R) binds the proof to session commitment R. Forging proof pi_hat without knowing sigma_k* requires computing the discrete logarithm sigma_k* = log_g(y_k*), which violates the DL assumption.</w:t>
      </w:r>
    </w:p>
    <w:p>
      <w:pPr>
        <w:spacing w:before="200" w:after="60"/>
      </w:pPr>
      <w:r>
        <w:rPr>
          <w:rFonts w:ascii="Times New Roman" w:hAnsi="Times New Roman"/>
          <w:b/>
          <w:color w:val="1E293B"/>
          <w:sz w:val="21"/>
        </w:rPr>
        <w:t>E.  Theorem 5: Revocation Non-Bypassability</w:t>
      </w:r>
    </w:p>
    <w:p>
      <w:pPr>
        <w:spacing w:before="40" w:after="80" w:line="276" w:lineRule="auto"/>
      </w:pPr>
      <w:r>
        <w:rPr>
          <w:rFonts w:ascii="Times New Roman" w:hAnsi="Times New Roman"/>
          <w:sz w:val="20"/>
        </w:rPr>
        <w:t>Theorem 5: A revoked document docId can never appear in a valid search result set.</w:t>
        <w:br/>
        <w:t>Proof: The smart contract enforces: require(!deletedDocRegistry[docId]). Because Ethereum state transitions are deterministic and immutable, any transaction containing a revoked document in the result set reverts automatically.</w:t>
      </w:r>
    </w:p>
    <w:p>
      <w:pPr>
        <w:spacing w:before="200" w:after="60"/>
      </w:pPr>
      <w:r>
        <w:rPr>
          <w:rFonts w:ascii="Times New Roman" w:hAnsi="Times New Roman"/>
          <w:b/>
          <w:color w:val="1E293B"/>
          <w:sz w:val="21"/>
        </w:rPr>
        <w:t>F.  Theorem 6: Collusion Resistance under CP-ABE</w:t>
      </w:r>
    </w:p>
    <w:p>
      <w:pPr>
        <w:spacing w:before="40" w:after="80" w:line="276" w:lineRule="auto"/>
      </w:pPr>
      <w:r>
        <w:rPr>
          <w:rFonts w:ascii="Times New Roman" w:hAnsi="Times New Roman"/>
          <w:sz w:val="20"/>
        </w:rPr>
        <w:t>Theorem 6: Unauthorized clinicians cannot pool attributes to decrypt a document whose policy neither clinician satisfies individually.</w:t>
        <w:br/>
        <w:t>Proof: User keys are tied to clinician identity uid via H_1(uid)^{-t} and H_1(uid)^{t * beta_i}. Pooling keys across distinct users introduces mismatched base elements H_1(uid_A) != H_1(uid_B) and different session randomness t_A != t_B that cannot be cancelled algebraically.</w:t>
      </w:r>
    </w:p>
    <w:p>
      <w:pPr>
        <w:spacing w:before="280" w:after="80"/>
      </w:pPr>
      <w:r>
        <w:rPr>
          <w:rFonts w:ascii="Times New Roman" w:hAnsi="Times New Roman"/>
          <w:b/>
          <w:color w:val="0F172A"/>
          <w:sz w:val="23"/>
        </w:rPr>
        <w:t>VIII.  EXPERIMENTAL EVALUATION &amp; DISCUSSION</w:t>
      </w:r>
    </w:p>
    <w:p>
      <w:pPr>
        <w:spacing w:before="200" w:after="60"/>
      </w:pPr>
      <w:r>
        <w:rPr>
          <w:rFonts w:ascii="Times New Roman" w:hAnsi="Times New Roman"/>
          <w:b/>
          <w:color w:val="1E293B"/>
          <w:sz w:val="21"/>
        </w:rPr>
        <w:t>A.  Experimental Setup and Clinical Dataset</w:t>
      </w:r>
    </w:p>
    <w:p>
      <w:pPr>
        <w:spacing w:before="40" w:after="80" w:line="276" w:lineRule="auto"/>
      </w:pPr>
      <w:r>
        <w:rPr>
          <w:rFonts w:ascii="Times New Roman" w:hAnsi="Times New Roman"/>
          <w:sz w:val="20"/>
        </w:rPr>
        <w:t>Experiments were conducted on an Intel Core i7 machine with 16 GB RAM running Python 3.11 on Windows 11. Latency was measured using high-resolution time.perf_counter() across 5 independently seeded runs; median values are reported. We evaluated an 8-record multi-departmental clinical EHR dataset adhering to HL7 FHIR standards (Cardiology ECGs, Telemetry JSON, Neurology MRIs, Stroke Lab CSVs, Oncology Biopsies, Pediatric Vaccines, Ward Vitals, Discharge Summaries).</w:t>
      </w:r>
    </w:p>
    <w:p>
      <w:pPr>
        <w:spacing w:before="200" w:after="60"/>
      </w:pPr>
      <w:r>
        <w:rPr>
          <w:rFonts w:ascii="Times New Roman" w:hAnsi="Times New Roman"/>
          <w:b/>
          <w:color w:val="1E293B"/>
          <w:sz w:val="21"/>
        </w:rPr>
        <w:t>B.  Empirical Benchmark &amp; Scalability Results</w:t>
      </w:r>
    </w:p>
    <w:p>
      <w:pPr>
        <w:spacing w:before="40" w:after="80" w:line="276" w:lineRule="auto"/>
      </w:pPr>
      <w:r>
        <w:rPr>
          <w:rFonts w:ascii="Times New Roman" w:hAnsi="Times New Roman"/>
          <w:sz w:val="20"/>
        </w:rPr>
        <w:t>Table IV and Fig. 2 present the empirical latency and speedup comparing base BAMKS against BAMKS-D dynamic operations as collection size L scales from 50 to 5,000 files.</w:t>
      </w:r>
    </w:p>
    <w:p>
      <w:pPr>
        <w:spacing w:before="120" w:after="40"/>
        <w:jc w:val="center"/>
      </w:pPr>
      <w:r>
        <w:rPr>
          <w:b/>
          <w:sz w:val="19"/>
        </w:rPr>
        <w:t>TABLE IV: EMPIRICAL LATENCY AND SPEEDUP COMPARISON</w:t>
      </w:r>
    </w:p>
    <w:tbl>
      <w:tblPr>
        <w:tblW w:type="auto" w:w="0"/>
        <w:jc w:val="center"/>
        <w:tblLayout w:type="fixed"/>
        <w:tblLook w:firstColumn="1" w:firstRow="1" w:lastColumn="0" w:lastRow="0" w:noHBand="0" w:noVBand="1" w:val="04A0"/>
      </w:tblPr>
      <w:tblGrid>
        <w:gridCol w:w="2016"/>
        <w:gridCol w:w="2016"/>
        <w:gridCol w:w="2016"/>
        <w:gridCol w:w="2016"/>
        <w:gridCol w:w="2016"/>
      </w:tblGrid>
      <w:tr>
        <w:tc>
          <w:tcPr>
            <w:tcW w:type="dxa" w:w="1728"/>
            <w:shd w:val="clear" w:color="auto" w:fill="1E293B"/>
            <w:tcMar>
              <w:top w:w="60" w:type="dxa"/>
              <w:bottom w:w="60" w:type="dxa"/>
              <w:left w:w="80" w:type="dxa"/>
              <w:right w:w="80" w:type="dxa"/>
            </w:tcMar>
          </w:tcPr>
          <w:p>
            <w:pPr>
              <w:jc w:val="center"/>
            </w:pPr>
            <w:r>
              <w:rPr>
                <w:b/>
                <w:color w:val="FFFFFF"/>
                <w:sz w:val="17"/>
              </w:rPr>
              <w:t>Files (L)</w:t>
            </w:r>
          </w:p>
        </w:tc>
        <w:tc>
          <w:tcPr>
            <w:tcW w:type="dxa" w:w="2160"/>
            <w:shd w:val="clear" w:color="auto" w:fill="1E293B"/>
            <w:tcMar>
              <w:top w:w="60" w:type="dxa"/>
              <w:bottom w:w="60" w:type="dxa"/>
              <w:left w:w="80" w:type="dxa"/>
              <w:right w:w="80" w:type="dxa"/>
            </w:tcMar>
          </w:tcPr>
          <w:p>
            <w:pPr>
              <w:jc w:val="center"/>
            </w:pPr>
            <w:r>
              <w:rPr>
                <w:b/>
                <w:color w:val="FFFFFF"/>
                <w:sz w:val="17"/>
              </w:rPr>
              <w:t>Base BAMKS</w:t>
            </w:r>
          </w:p>
        </w:tc>
        <w:tc>
          <w:tcPr>
            <w:tcW w:type="dxa" w:w="2160"/>
            <w:shd w:val="clear" w:color="auto" w:fill="1E293B"/>
            <w:tcMar>
              <w:top w:w="60" w:type="dxa"/>
              <w:bottom w:w="60" w:type="dxa"/>
              <w:left w:w="80" w:type="dxa"/>
              <w:right w:w="80" w:type="dxa"/>
            </w:tcMar>
          </w:tcPr>
          <w:p>
            <w:pPr>
              <w:jc w:val="center"/>
            </w:pPr>
            <w:r>
              <w:rPr>
                <w:b/>
                <w:color w:val="FFFFFF"/>
                <w:sz w:val="17"/>
              </w:rPr>
              <w:t>BAMKS-D (Add)</w:t>
            </w:r>
          </w:p>
        </w:tc>
        <w:tc>
          <w:tcPr>
            <w:tcW w:type="dxa" w:w="2160"/>
            <w:shd w:val="clear" w:color="auto" w:fill="1E293B"/>
            <w:tcMar>
              <w:top w:w="60" w:type="dxa"/>
              <w:bottom w:w="60" w:type="dxa"/>
              <w:left w:w="80" w:type="dxa"/>
              <w:right w:w="80" w:type="dxa"/>
            </w:tcMar>
          </w:tcPr>
          <w:p>
            <w:pPr>
              <w:jc w:val="center"/>
            </w:pPr>
            <w:r>
              <w:rPr>
                <w:b/>
                <w:color w:val="FFFFFF"/>
                <w:sz w:val="17"/>
              </w:rPr>
              <w:t>BAMKS-D (Del)</w:t>
            </w:r>
          </w:p>
        </w:tc>
        <w:tc>
          <w:tcPr>
            <w:tcW w:type="dxa" w:w="1872"/>
            <w:shd w:val="clear" w:color="auto" w:fill="1E293B"/>
            <w:tcMar>
              <w:top w:w="60" w:type="dxa"/>
              <w:bottom w:w="60" w:type="dxa"/>
              <w:left w:w="80" w:type="dxa"/>
              <w:right w:w="80" w:type="dxa"/>
            </w:tcMar>
          </w:tcPr>
          <w:p>
            <w:pPr>
              <w:jc w:val="center"/>
            </w:pPr>
            <w:r>
              <w:rPr>
                <w:b/>
                <w:color w:val="FFFFFF"/>
                <w:sz w:val="17"/>
              </w:rPr>
              <w:t>Speedup Factor</w:t>
            </w:r>
          </w:p>
        </w:tc>
      </w:tr>
      <w:tr>
        <w:tc>
          <w:tcPr>
            <w:tcW w:type="dxa" w:w="1728"/>
            <w:shd w:val="clear" w:color="auto" w:fill="F8FAFC"/>
            <w:tcMar>
              <w:top w:w="50" w:type="dxa"/>
              <w:bottom w:w="50" w:type="dxa"/>
              <w:left w:w="70" w:type="dxa"/>
              <w:right w:w="70" w:type="dxa"/>
            </w:tcMar>
          </w:tcPr>
          <w:p>
            <w:pPr>
              <w:jc w:val="center"/>
            </w:pPr>
            <w:r>
              <w:rPr>
                <w:sz w:val="17"/>
              </w:rPr>
              <w:t>50</w:t>
            </w:r>
          </w:p>
        </w:tc>
        <w:tc>
          <w:tcPr>
            <w:tcW w:type="dxa" w:w="2160"/>
            <w:shd w:val="clear" w:color="auto" w:fill="F8FAFC"/>
            <w:tcMar>
              <w:top w:w="50" w:type="dxa"/>
              <w:bottom w:w="50" w:type="dxa"/>
              <w:left w:w="70" w:type="dxa"/>
              <w:right w:w="70" w:type="dxa"/>
            </w:tcMar>
          </w:tcPr>
          <w:p>
            <w:pPr>
              <w:jc w:val="center"/>
            </w:pPr>
            <w:r>
              <w:rPr>
                <w:sz w:val="17"/>
              </w:rPr>
              <w:t>13.84 ms</w:t>
            </w:r>
          </w:p>
        </w:tc>
        <w:tc>
          <w:tcPr>
            <w:tcW w:type="dxa" w:w="2160"/>
            <w:shd w:val="clear" w:color="auto" w:fill="F8FAFC"/>
            <w:tcMar>
              <w:top w:w="50" w:type="dxa"/>
              <w:bottom w:w="50" w:type="dxa"/>
              <w:left w:w="70" w:type="dxa"/>
              <w:right w:w="70" w:type="dxa"/>
            </w:tcMar>
          </w:tcPr>
          <w:p>
            <w:pPr>
              <w:jc w:val="center"/>
            </w:pPr>
            <w:r>
              <w:rPr>
                <w:sz w:val="17"/>
              </w:rPr>
              <w:t>0.2936 ms</w:t>
            </w:r>
          </w:p>
        </w:tc>
        <w:tc>
          <w:tcPr>
            <w:tcW w:type="dxa" w:w="2160"/>
            <w:shd w:val="clear" w:color="auto" w:fill="F8FAFC"/>
            <w:tcMar>
              <w:top w:w="50" w:type="dxa"/>
              <w:bottom w:w="50" w:type="dxa"/>
              <w:left w:w="70" w:type="dxa"/>
              <w:right w:w="70" w:type="dxa"/>
            </w:tcMar>
          </w:tcPr>
          <w:p>
            <w:pPr>
              <w:jc w:val="center"/>
            </w:pPr>
            <w:r>
              <w:rPr>
                <w:sz w:val="17"/>
              </w:rPr>
              <w:t>0.0007 ms</w:t>
            </w:r>
          </w:p>
        </w:tc>
        <w:tc>
          <w:tcPr>
            <w:tcW w:type="dxa" w:w="1872"/>
            <w:shd w:val="clear" w:color="auto" w:fill="F8FAFC"/>
            <w:tcMar>
              <w:top w:w="50" w:type="dxa"/>
              <w:bottom w:w="50" w:type="dxa"/>
              <w:left w:w="70" w:type="dxa"/>
              <w:right w:w="70" w:type="dxa"/>
            </w:tcMar>
          </w:tcPr>
          <w:p>
            <w:pPr>
              <w:jc w:val="center"/>
            </w:pPr>
            <w:r>
              <w:rPr>
                <w:sz w:val="17"/>
              </w:rPr>
              <w:t>47.1x</w:t>
            </w:r>
          </w:p>
        </w:tc>
      </w:tr>
      <w:tr>
        <w:tc>
          <w:tcPr>
            <w:tcW w:type="dxa" w:w="1728"/>
            <w:shd w:val="clear" w:color="auto" w:fill="FFFFFF"/>
            <w:tcMar>
              <w:top w:w="50" w:type="dxa"/>
              <w:bottom w:w="50" w:type="dxa"/>
              <w:left w:w="70" w:type="dxa"/>
              <w:right w:w="70" w:type="dxa"/>
            </w:tcMar>
          </w:tcPr>
          <w:p>
            <w:pPr>
              <w:jc w:val="center"/>
            </w:pPr>
            <w:r>
              <w:rPr>
                <w:sz w:val="17"/>
              </w:rPr>
              <w:t>100</w:t>
            </w:r>
          </w:p>
        </w:tc>
        <w:tc>
          <w:tcPr>
            <w:tcW w:type="dxa" w:w="2160"/>
            <w:shd w:val="clear" w:color="auto" w:fill="FFFFFF"/>
            <w:tcMar>
              <w:top w:w="50" w:type="dxa"/>
              <w:bottom w:w="50" w:type="dxa"/>
              <w:left w:w="70" w:type="dxa"/>
              <w:right w:w="70" w:type="dxa"/>
            </w:tcMar>
          </w:tcPr>
          <w:p>
            <w:pPr>
              <w:jc w:val="center"/>
            </w:pPr>
            <w:r>
              <w:rPr>
                <w:sz w:val="17"/>
              </w:rPr>
              <w:t>28.12 ms</w:t>
            </w:r>
          </w:p>
        </w:tc>
        <w:tc>
          <w:tcPr>
            <w:tcW w:type="dxa" w:w="2160"/>
            <w:shd w:val="clear" w:color="auto" w:fill="FFFFFF"/>
            <w:tcMar>
              <w:top w:w="50" w:type="dxa"/>
              <w:bottom w:w="50" w:type="dxa"/>
              <w:left w:w="70" w:type="dxa"/>
              <w:right w:w="70" w:type="dxa"/>
            </w:tcMar>
          </w:tcPr>
          <w:p>
            <w:pPr>
              <w:jc w:val="center"/>
            </w:pPr>
            <w:r>
              <w:rPr>
                <w:sz w:val="17"/>
              </w:rPr>
              <w:t>0.2912 ms</w:t>
            </w:r>
          </w:p>
        </w:tc>
        <w:tc>
          <w:tcPr>
            <w:tcW w:type="dxa" w:w="2160"/>
            <w:shd w:val="clear" w:color="auto" w:fill="FFFFFF"/>
            <w:tcMar>
              <w:top w:w="50" w:type="dxa"/>
              <w:bottom w:w="50" w:type="dxa"/>
              <w:left w:w="70" w:type="dxa"/>
              <w:right w:w="70" w:type="dxa"/>
            </w:tcMar>
          </w:tcPr>
          <w:p>
            <w:pPr>
              <w:jc w:val="center"/>
            </w:pPr>
            <w:r>
              <w:rPr>
                <w:sz w:val="17"/>
              </w:rPr>
              <w:t>0.0007 ms</w:t>
            </w:r>
          </w:p>
        </w:tc>
        <w:tc>
          <w:tcPr>
            <w:tcW w:type="dxa" w:w="1872"/>
            <w:shd w:val="clear" w:color="auto" w:fill="FFFFFF"/>
            <w:tcMar>
              <w:top w:w="50" w:type="dxa"/>
              <w:bottom w:w="50" w:type="dxa"/>
              <w:left w:w="70" w:type="dxa"/>
              <w:right w:w="70" w:type="dxa"/>
            </w:tcMar>
          </w:tcPr>
          <w:p>
            <w:pPr>
              <w:jc w:val="center"/>
            </w:pPr>
            <w:r>
              <w:rPr>
                <w:sz w:val="17"/>
              </w:rPr>
              <w:t>96.6x</w:t>
            </w:r>
          </w:p>
        </w:tc>
      </w:tr>
      <w:tr>
        <w:tc>
          <w:tcPr>
            <w:tcW w:type="dxa" w:w="1728"/>
            <w:shd w:val="clear" w:color="auto" w:fill="F8FAFC"/>
            <w:tcMar>
              <w:top w:w="50" w:type="dxa"/>
              <w:bottom w:w="50" w:type="dxa"/>
              <w:left w:w="70" w:type="dxa"/>
              <w:right w:w="70" w:type="dxa"/>
            </w:tcMar>
          </w:tcPr>
          <w:p>
            <w:pPr>
              <w:jc w:val="center"/>
            </w:pPr>
            <w:r>
              <w:rPr>
                <w:sz w:val="17"/>
              </w:rPr>
              <w:t>200</w:t>
            </w:r>
          </w:p>
        </w:tc>
        <w:tc>
          <w:tcPr>
            <w:tcW w:type="dxa" w:w="2160"/>
            <w:shd w:val="clear" w:color="auto" w:fill="F8FAFC"/>
            <w:tcMar>
              <w:top w:w="50" w:type="dxa"/>
              <w:bottom w:w="50" w:type="dxa"/>
              <w:left w:w="70" w:type="dxa"/>
              <w:right w:w="70" w:type="dxa"/>
            </w:tcMar>
          </w:tcPr>
          <w:p>
            <w:pPr>
              <w:jc w:val="center"/>
            </w:pPr>
            <w:r>
              <w:rPr>
                <w:sz w:val="17"/>
              </w:rPr>
              <w:t>60.50 ms</w:t>
            </w:r>
          </w:p>
        </w:tc>
        <w:tc>
          <w:tcPr>
            <w:tcW w:type="dxa" w:w="2160"/>
            <w:shd w:val="clear" w:color="auto" w:fill="F8FAFC"/>
            <w:tcMar>
              <w:top w:w="50" w:type="dxa"/>
              <w:bottom w:w="50" w:type="dxa"/>
              <w:left w:w="70" w:type="dxa"/>
              <w:right w:w="70" w:type="dxa"/>
            </w:tcMar>
          </w:tcPr>
          <w:p>
            <w:pPr>
              <w:jc w:val="center"/>
            </w:pPr>
            <w:r>
              <w:rPr>
                <w:sz w:val="17"/>
              </w:rPr>
              <w:t>0.2963 ms</w:t>
            </w:r>
          </w:p>
        </w:tc>
        <w:tc>
          <w:tcPr>
            <w:tcW w:type="dxa" w:w="2160"/>
            <w:shd w:val="clear" w:color="auto" w:fill="F8FAFC"/>
            <w:tcMar>
              <w:top w:w="50" w:type="dxa"/>
              <w:bottom w:w="50" w:type="dxa"/>
              <w:left w:w="70" w:type="dxa"/>
              <w:right w:w="70" w:type="dxa"/>
            </w:tcMar>
          </w:tcPr>
          <w:p>
            <w:pPr>
              <w:jc w:val="center"/>
            </w:pPr>
            <w:r>
              <w:rPr>
                <w:sz w:val="17"/>
              </w:rPr>
              <w:t>0.0008 ms</w:t>
            </w:r>
          </w:p>
        </w:tc>
        <w:tc>
          <w:tcPr>
            <w:tcW w:type="dxa" w:w="1872"/>
            <w:shd w:val="clear" w:color="auto" w:fill="F8FAFC"/>
            <w:tcMar>
              <w:top w:w="50" w:type="dxa"/>
              <w:bottom w:w="50" w:type="dxa"/>
              <w:left w:w="70" w:type="dxa"/>
              <w:right w:w="70" w:type="dxa"/>
            </w:tcMar>
          </w:tcPr>
          <w:p>
            <w:pPr>
              <w:jc w:val="center"/>
            </w:pPr>
            <w:r>
              <w:rPr>
                <w:sz w:val="17"/>
              </w:rPr>
              <w:t>204.2x</w:t>
            </w:r>
          </w:p>
        </w:tc>
      </w:tr>
      <w:tr>
        <w:tc>
          <w:tcPr>
            <w:tcW w:type="dxa" w:w="1728"/>
            <w:shd w:val="clear" w:color="auto" w:fill="FFFFFF"/>
            <w:tcMar>
              <w:top w:w="50" w:type="dxa"/>
              <w:bottom w:w="50" w:type="dxa"/>
              <w:left w:w="70" w:type="dxa"/>
              <w:right w:w="70" w:type="dxa"/>
            </w:tcMar>
          </w:tcPr>
          <w:p>
            <w:pPr>
              <w:jc w:val="center"/>
            </w:pPr>
            <w:r>
              <w:rPr>
                <w:sz w:val="17"/>
              </w:rPr>
              <w:t>500</w:t>
            </w:r>
          </w:p>
        </w:tc>
        <w:tc>
          <w:tcPr>
            <w:tcW w:type="dxa" w:w="2160"/>
            <w:shd w:val="clear" w:color="auto" w:fill="FFFFFF"/>
            <w:tcMar>
              <w:top w:w="50" w:type="dxa"/>
              <w:bottom w:w="50" w:type="dxa"/>
              <w:left w:w="70" w:type="dxa"/>
              <w:right w:w="70" w:type="dxa"/>
            </w:tcMar>
          </w:tcPr>
          <w:p>
            <w:pPr>
              <w:jc w:val="center"/>
            </w:pPr>
            <w:r>
              <w:rPr>
                <w:sz w:val="17"/>
              </w:rPr>
              <w:t>141.63 ms</w:t>
            </w:r>
          </w:p>
        </w:tc>
        <w:tc>
          <w:tcPr>
            <w:tcW w:type="dxa" w:w="2160"/>
            <w:shd w:val="clear" w:color="auto" w:fill="FFFFFF"/>
            <w:tcMar>
              <w:top w:w="50" w:type="dxa"/>
              <w:bottom w:w="50" w:type="dxa"/>
              <w:left w:w="70" w:type="dxa"/>
              <w:right w:w="70" w:type="dxa"/>
            </w:tcMar>
          </w:tcPr>
          <w:p>
            <w:pPr>
              <w:jc w:val="center"/>
            </w:pPr>
            <w:r>
              <w:rPr>
                <w:sz w:val="17"/>
              </w:rPr>
              <w:t>0.2880 ms</w:t>
            </w:r>
          </w:p>
        </w:tc>
        <w:tc>
          <w:tcPr>
            <w:tcW w:type="dxa" w:w="2160"/>
            <w:shd w:val="clear" w:color="auto" w:fill="FFFFFF"/>
            <w:tcMar>
              <w:top w:w="50" w:type="dxa"/>
              <w:bottom w:w="50" w:type="dxa"/>
              <w:left w:w="70" w:type="dxa"/>
              <w:right w:w="70" w:type="dxa"/>
            </w:tcMar>
          </w:tcPr>
          <w:p>
            <w:pPr>
              <w:jc w:val="center"/>
            </w:pPr>
            <w:r>
              <w:rPr>
                <w:sz w:val="17"/>
              </w:rPr>
              <w:t>0.0006 ms</w:t>
            </w:r>
          </w:p>
        </w:tc>
        <w:tc>
          <w:tcPr>
            <w:tcW w:type="dxa" w:w="1872"/>
            <w:shd w:val="clear" w:color="auto" w:fill="FFFFFF"/>
            <w:tcMar>
              <w:top w:w="50" w:type="dxa"/>
              <w:bottom w:w="50" w:type="dxa"/>
              <w:left w:w="70" w:type="dxa"/>
              <w:right w:w="70" w:type="dxa"/>
            </w:tcMar>
          </w:tcPr>
          <w:p>
            <w:pPr>
              <w:jc w:val="center"/>
            </w:pPr>
            <w:r>
              <w:rPr>
                <w:sz w:val="17"/>
              </w:rPr>
              <w:t>491.8x</w:t>
            </w:r>
          </w:p>
        </w:tc>
      </w:tr>
      <w:tr>
        <w:tc>
          <w:tcPr>
            <w:tcW w:type="dxa" w:w="1728"/>
            <w:shd w:val="clear" w:color="auto" w:fill="F8FAFC"/>
            <w:tcMar>
              <w:top w:w="50" w:type="dxa"/>
              <w:bottom w:w="50" w:type="dxa"/>
              <w:left w:w="70" w:type="dxa"/>
              <w:right w:w="70" w:type="dxa"/>
            </w:tcMar>
          </w:tcPr>
          <w:p>
            <w:pPr>
              <w:jc w:val="center"/>
            </w:pPr>
            <w:r>
              <w:rPr>
                <w:sz w:val="17"/>
              </w:rPr>
              <w:t>1,000</w:t>
            </w:r>
          </w:p>
        </w:tc>
        <w:tc>
          <w:tcPr>
            <w:tcW w:type="dxa" w:w="2160"/>
            <w:shd w:val="clear" w:color="auto" w:fill="F8FAFC"/>
            <w:tcMar>
              <w:top w:w="50" w:type="dxa"/>
              <w:bottom w:w="50" w:type="dxa"/>
              <w:left w:w="70" w:type="dxa"/>
              <w:right w:w="70" w:type="dxa"/>
            </w:tcMar>
          </w:tcPr>
          <w:p>
            <w:pPr>
              <w:jc w:val="center"/>
            </w:pPr>
            <w:r>
              <w:rPr>
                <w:sz w:val="17"/>
              </w:rPr>
              <w:t>285.87 ms</w:t>
            </w:r>
          </w:p>
        </w:tc>
        <w:tc>
          <w:tcPr>
            <w:tcW w:type="dxa" w:w="2160"/>
            <w:shd w:val="clear" w:color="auto" w:fill="F8FAFC"/>
            <w:tcMar>
              <w:top w:w="50" w:type="dxa"/>
              <w:bottom w:w="50" w:type="dxa"/>
              <w:left w:w="70" w:type="dxa"/>
              <w:right w:w="70" w:type="dxa"/>
            </w:tcMar>
          </w:tcPr>
          <w:p>
            <w:pPr>
              <w:jc w:val="center"/>
            </w:pPr>
            <w:r>
              <w:rPr>
                <w:sz w:val="17"/>
              </w:rPr>
              <w:t>0.4254 ms</w:t>
            </w:r>
          </w:p>
        </w:tc>
        <w:tc>
          <w:tcPr>
            <w:tcW w:type="dxa" w:w="2160"/>
            <w:shd w:val="clear" w:color="auto" w:fill="F8FAFC"/>
            <w:tcMar>
              <w:top w:w="50" w:type="dxa"/>
              <w:bottom w:w="50" w:type="dxa"/>
              <w:left w:w="70" w:type="dxa"/>
              <w:right w:w="70" w:type="dxa"/>
            </w:tcMar>
          </w:tcPr>
          <w:p>
            <w:pPr>
              <w:jc w:val="center"/>
            </w:pPr>
            <w:r>
              <w:rPr>
                <w:sz w:val="17"/>
              </w:rPr>
              <w:t>0.0009 ms</w:t>
            </w:r>
          </w:p>
        </w:tc>
        <w:tc>
          <w:tcPr>
            <w:tcW w:type="dxa" w:w="1872"/>
            <w:shd w:val="clear" w:color="auto" w:fill="F8FAFC"/>
            <w:tcMar>
              <w:top w:w="50" w:type="dxa"/>
              <w:bottom w:w="50" w:type="dxa"/>
              <w:left w:w="70" w:type="dxa"/>
              <w:right w:w="70" w:type="dxa"/>
            </w:tcMar>
          </w:tcPr>
          <w:p>
            <w:pPr>
              <w:jc w:val="center"/>
            </w:pPr>
            <w:r>
              <w:rPr>
                <w:sz w:val="17"/>
              </w:rPr>
              <w:t>672.0x</w:t>
            </w:r>
          </w:p>
        </w:tc>
      </w:tr>
      <w:tr>
        <w:tc>
          <w:tcPr>
            <w:tcW w:type="dxa" w:w="1728"/>
            <w:shd w:val="clear" w:color="auto" w:fill="FFFFFF"/>
            <w:tcMar>
              <w:top w:w="50" w:type="dxa"/>
              <w:bottom w:w="50" w:type="dxa"/>
              <w:left w:w="70" w:type="dxa"/>
              <w:right w:w="70" w:type="dxa"/>
            </w:tcMar>
          </w:tcPr>
          <w:p>
            <w:pPr>
              <w:jc w:val="center"/>
            </w:pPr>
            <w:r>
              <w:rPr>
                <w:sz w:val="17"/>
              </w:rPr>
              <w:t>2,000</w:t>
            </w:r>
          </w:p>
        </w:tc>
        <w:tc>
          <w:tcPr>
            <w:tcW w:type="dxa" w:w="2160"/>
            <w:shd w:val="clear" w:color="auto" w:fill="FFFFFF"/>
            <w:tcMar>
              <w:top w:w="50" w:type="dxa"/>
              <w:bottom w:w="50" w:type="dxa"/>
              <w:left w:w="70" w:type="dxa"/>
              <w:right w:w="70" w:type="dxa"/>
            </w:tcMar>
          </w:tcPr>
          <w:p>
            <w:pPr>
              <w:jc w:val="center"/>
            </w:pPr>
            <w:r>
              <w:rPr>
                <w:sz w:val="17"/>
              </w:rPr>
              <w:t>572.40 ms</w:t>
            </w:r>
          </w:p>
        </w:tc>
        <w:tc>
          <w:tcPr>
            <w:tcW w:type="dxa" w:w="2160"/>
            <w:shd w:val="clear" w:color="auto" w:fill="FFFFFF"/>
            <w:tcMar>
              <w:top w:w="50" w:type="dxa"/>
              <w:bottom w:w="50" w:type="dxa"/>
              <w:left w:w="70" w:type="dxa"/>
              <w:right w:w="70" w:type="dxa"/>
            </w:tcMar>
          </w:tcPr>
          <w:p>
            <w:pPr>
              <w:jc w:val="center"/>
            </w:pPr>
            <w:r>
              <w:rPr>
                <w:sz w:val="17"/>
              </w:rPr>
              <w:t>0.3810 ms</w:t>
            </w:r>
          </w:p>
        </w:tc>
        <w:tc>
          <w:tcPr>
            <w:tcW w:type="dxa" w:w="2160"/>
            <w:shd w:val="clear" w:color="auto" w:fill="FFFFFF"/>
            <w:tcMar>
              <w:top w:w="50" w:type="dxa"/>
              <w:bottom w:w="50" w:type="dxa"/>
              <w:left w:w="70" w:type="dxa"/>
              <w:right w:w="70" w:type="dxa"/>
            </w:tcMar>
          </w:tcPr>
          <w:p>
            <w:pPr>
              <w:jc w:val="center"/>
            </w:pPr>
            <w:r>
              <w:rPr>
                <w:sz w:val="17"/>
              </w:rPr>
              <w:t>0.0010 ms</w:t>
            </w:r>
          </w:p>
        </w:tc>
        <w:tc>
          <w:tcPr>
            <w:tcW w:type="dxa" w:w="1872"/>
            <w:shd w:val="clear" w:color="auto" w:fill="FFFFFF"/>
            <w:tcMar>
              <w:top w:w="50" w:type="dxa"/>
              <w:bottom w:w="50" w:type="dxa"/>
              <w:left w:w="70" w:type="dxa"/>
              <w:right w:w="70" w:type="dxa"/>
            </w:tcMar>
          </w:tcPr>
          <w:p>
            <w:pPr>
              <w:jc w:val="center"/>
            </w:pPr>
            <w:r>
              <w:rPr>
                <w:sz w:val="17"/>
              </w:rPr>
              <w:t>1,502.4x</w:t>
            </w:r>
          </w:p>
        </w:tc>
      </w:tr>
      <w:tr>
        <w:tc>
          <w:tcPr>
            <w:tcW w:type="dxa" w:w="1728"/>
            <w:shd w:val="clear" w:color="auto" w:fill="EFF6FF"/>
            <w:tcMar>
              <w:top w:w="50" w:type="dxa"/>
              <w:bottom w:w="50" w:type="dxa"/>
              <w:left w:w="70" w:type="dxa"/>
              <w:right w:w="70" w:type="dxa"/>
            </w:tcMar>
          </w:tcPr>
          <w:p>
            <w:pPr>
              <w:jc w:val="center"/>
            </w:pPr>
            <w:r>
              <w:rPr>
                <w:b/>
                <w:color w:val="1D4ED8"/>
                <w:sz w:val="17"/>
              </w:rPr>
              <w:t>5,000</w:t>
            </w:r>
          </w:p>
        </w:tc>
        <w:tc>
          <w:tcPr>
            <w:tcW w:type="dxa" w:w="2160"/>
            <w:shd w:val="clear" w:color="auto" w:fill="EFF6FF"/>
            <w:tcMar>
              <w:top w:w="50" w:type="dxa"/>
              <w:bottom w:w="50" w:type="dxa"/>
              <w:left w:w="70" w:type="dxa"/>
              <w:right w:w="70" w:type="dxa"/>
            </w:tcMar>
          </w:tcPr>
          <w:p>
            <w:pPr>
              <w:jc w:val="center"/>
            </w:pPr>
            <w:r>
              <w:rPr>
                <w:b/>
                <w:color w:val="1D4ED8"/>
                <w:sz w:val="17"/>
              </w:rPr>
              <w:t>1,430.20 ms</w:t>
            </w:r>
          </w:p>
        </w:tc>
        <w:tc>
          <w:tcPr>
            <w:tcW w:type="dxa" w:w="2160"/>
            <w:shd w:val="clear" w:color="auto" w:fill="EFF6FF"/>
            <w:tcMar>
              <w:top w:w="50" w:type="dxa"/>
              <w:bottom w:w="50" w:type="dxa"/>
              <w:left w:w="70" w:type="dxa"/>
              <w:right w:w="70" w:type="dxa"/>
            </w:tcMar>
          </w:tcPr>
          <w:p>
            <w:pPr>
              <w:jc w:val="center"/>
            </w:pPr>
            <w:r>
              <w:rPr>
                <w:b/>
                <w:color w:val="1D4ED8"/>
                <w:sz w:val="17"/>
              </w:rPr>
              <w:t>0.3961 ms</w:t>
            </w:r>
          </w:p>
        </w:tc>
        <w:tc>
          <w:tcPr>
            <w:tcW w:type="dxa" w:w="2160"/>
            <w:shd w:val="clear" w:color="auto" w:fill="EFF6FF"/>
            <w:tcMar>
              <w:top w:w="50" w:type="dxa"/>
              <w:bottom w:w="50" w:type="dxa"/>
              <w:left w:w="70" w:type="dxa"/>
              <w:right w:w="70" w:type="dxa"/>
            </w:tcMar>
          </w:tcPr>
          <w:p>
            <w:pPr>
              <w:jc w:val="center"/>
            </w:pPr>
            <w:r>
              <w:rPr>
                <w:b/>
                <w:color w:val="1D4ED8"/>
                <w:sz w:val="17"/>
              </w:rPr>
              <w:t>0.0011 ms</w:t>
            </w:r>
          </w:p>
        </w:tc>
        <w:tc>
          <w:tcPr>
            <w:tcW w:type="dxa" w:w="1872"/>
            <w:shd w:val="clear" w:color="auto" w:fill="EFF6FF"/>
            <w:tcMar>
              <w:top w:w="50" w:type="dxa"/>
              <w:bottom w:w="50" w:type="dxa"/>
              <w:left w:w="70" w:type="dxa"/>
              <w:right w:w="70" w:type="dxa"/>
            </w:tcMar>
          </w:tcPr>
          <w:p>
            <w:pPr>
              <w:jc w:val="center"/>
            </w:pPr>
            <w:r>
              <w:rPr>
                <w:b/>
                <w:color w:val="1D4ED8"/>
                <w:sz w:val="17"/>
              </w:rPr>
              <w:t>3,610.7x</w:t>
            </w:r>
          </w:p>
        </w:tc>
      </w:tr>
    </w:tbl>
    <w:p>
      <w:pPr>
        <w:spacing w:after="120"/>
      </w:pPr>
    </w:p>
    <w:p>
      <w:pPr>
        <w:spacing w:before="120" w:after="40"/>
        <w:jc w:val="center"/>
      </w:pPr>
    </w:p>
    <w:p>
      <w:r>
        <w:drawing>
          <wp:inline xmlns:a="http://schemas.openxmlformats.org/drawingml/2006/main" xmlns:pic="http://schemas.openxmlformats.org/drawingml/2006/picture">
            <wp:extent cx="5303520" cy="3409406"/>
            <wp:docPr id="2" name="Picture 2"/>
            <wp:cNvGraphicFramePr>
              <a:graphicFrameLocks noChangeAspect="1"/>
            </wp:cNvGraphicFramePr>
            <a:graphic>
              <a:graphicData uri="http://schemas.openxmlformats.org/drawingml/2006/picture">
                <pic:pic>
                  <pic:nvPicPr>
                    <pic:cNvPr id="0" name="chart_scalability_multi_n.png"/>
                    <pic:cNvPicPr/>
                  </pic:nvPicPr>
                  <pic:blipFill>
                    <a:blip r:embed="rId10"/>
                    <a:stretch>
                      <a:fillRect/>
                    </a:stretch>
                  </pic:blipFill>
                  <pic:spPr>
                    <a:xfrm>
                      <a:off x="0" y="0"/>
                      <a:ext cx="5303520" cy="3409406"/>
                    </a:xfrm>
                    <a:prstGeom prst="rect"/>
                  </pic:spPr>
                </pic:pic>
              </a:graphicData>
            </a:graphic>
          </wp:inline>
        </w:drawing>
      </w:r>
    </w:p>
    <w:p>
      <w:pPr>
        <w:spacing w:after="160"/>
        <w:jc w:val="center"/>
      </w:pPr>
      <w:r>
        <w:rPr>
          <w:i/>
          <w:sz w:val="17"/>
        </w:rPr>
        <w:t>Fig. 2. Empirical Scalability Comparison: Base BAMKS full re-indexing latency O(L * m) vs. BAMKS-D single-document addition O(m) and constant-time deletion O(1).</w:t>
      </w:r>
    </w:p>
    <w:p>
      <w:pPr>
        <w:spacing w:before="200" w:after="60"/>
      </w:pPr>
      <w:r>
        <w:rPr>
          <w:rFonts w:ascii="Times New Roman" w:hAnsi="Times New Roman"/>
          <w:b/>
          <w:color w:val="1E293B"/>
          <w:sz w:val="21"/>
        </w:rPr>
        <w:t>C.  Batch Addition and Storage Overhead</w:t>
      </w:r>
    </w:p>
    <w:p>
      <w:pPr>
        <w:spacing w:before="40" w:after="80" w:line="276" w:lineRule="auto"/>
      </w:pPr>
      <w:r>
        <w:rPr>
          <w:rFonts w:ascii="Times New Roman" w:hAnsi="Times New Roman"/>
          <w:sz w:val="20"/>
        </w:rPr>
        <w:t>Evaluating single_doc_add_batch across batches of clinical files confirmed flat per-file costs of ~0.213 ms/doc. Inverted index storage grew linearly at 452.0 bytes/document (4,098 bytes for 8 documents; 4,520 bytes added for 10 new records), confirming minimal storage overhead without memory fragmentation.</w:t>
      </w:r>
    </w:p>
    <w:p>
      <w:pPr>
        <w:spacing w:before="200" w:after="60"/>
      </w:pPr>
      <w:r>
        <w:rPr>
          <w:rFonts w:ascii="Times New Roman" w:hAnsi="Times New Roman"/>
          <w:b/>
          <w:color w:val="1E293B"/>
          <w:sz w:val="21"/>
        </w:rPr>
        <w:t>D.  Automated Correctness and Security Test Suite</w:t>
      </w:r>
    </w:p>
    <w:p>
      <w:pPr>
        <w:spacing w:before="40" w:after="80" w:line="276" w:lineRule="auto"/>
      </w:pPr>
      <w:r>
        <w:rPr>
          <w:rFonts w:ascii="Times New Roman" w:hAnsi="Times New Roman"/>
          <w:sz w:val="20"/>
        </w:rPr>
        <w:t>Our automated test suite verified five essential security guarantees: (1) Test A confirmed zero false positives for mismatched trapdoors, (2) Test B verified that revoked documents are excluded from search in 0.0012 ms, (3) Test C confirmed CP-ABE policy enforcement denying unauthorized nurses decryption of cardiology records, (4) Test D validated batch addition, and (5) Test E verified linear index scaling.</w:t>
      </w:r>
    </w:p>
    <w:p>
      <w:pPr>
        <w:spacing w:before="280" w:after="80"/>
      </w:pPr>
      <w:r>
        <w:rPr>
          <w:rFonts w:ascii="Times New Roman" w:hAnsi="Times New Roman"/>
          <w:b/>
          <w:color w:val="0F172A"/>
          <w:sz w:val="23"/>
        </w:rPr>
        <w:t>IX.  CONCLUSION &amp; FUTURE WORK</w:t>
      </w:r>
    </w:p>
    <w:p>
      <w:pPr>
        <w:spacing w:before="40" w:after="80" w:line="276" w:lineRule="auto"/>
      </w:pPr>
      <w:r>
        <w:rPr>
          <w:rFonts w:ascii="Times New Roman" w:hAnsi="Times New Roman"/>
          <w:sz w:val="20"/>
        </w:rPr>
        <w:t>This paper presented BAMKS-D, solving the fundamental research gap posed in Section 8 of Cheng et al. [1]. By replacing monolithic collection re-keying with atomic SingleDocAdd (O(m)) and on-chain SingleDocDelete (O(1)), BAMKS-D delivers up to a 3,610.7x speedup at L=5,000 files while guaranteeing zero keyword leakage and CP-ABE access control. The protocol was fully implemented, mathematically proven, and deployed on Ethereum Sepolia and Pinata IPFS. Future research will explore forward-private dynamic searchable encryption and zero-knowledge batch verification.</w:t>
      </w:r>
    </w:p>
    <w:p>
      <w:pPr>
        <w:spacing w:before="160" w:after="80"/>
      </w:pPr>
      <w:r>
        <w:rPr>
          <w:b/>
          <w:sz w:val="19"/>
        </w:rPr>
        <w:t xml:space="preserve">Data and Code Availability: </w:t>
      </w:r>
      <w:r>
        <w:rPr>
          <w:sz w:val="19"/>
        </w:rPr>
        <w:t>The complete reproducible source code, smart contracts, clinical EHR dataset, and automated verification scripts are openly available at: https://github.com/Prashant8991/BAMKS.git. The Sepolia smart contract is verified at: 0x3829bda65146D8fb0C2c6E2596F6A39936bF9DB5.</w:t>
      </w:r>
    </w:p>
    <w:p>
      <w:pPr>
        <w:spacing w:before="80" w:after="160"/>
      </w:pPr>
      <w:r>
        <w:rPr>
          <w:b/>
          <w:sz w:val="19"/>
        </w:rPr>
        <w:t xml:space="preserve">Author Contributions (CRediT): </w:t>
      </w:r>
      <w:r>
        <w:rPr>
          <w:sz w:val="19"/>
        </w:rPr>
        <w:t>Prashant Singh: Cryptographic protocol formulation, zero-leakage inverted indexing, CP-ABE policy matrix design, and clinical dashboard engineering. Rushikesh Adak: Solidity smart contract development, EVM opcode gas optimization, Sepolia testnet deployment, and empirical benchmark testing.</w:t>
      </w:r>
    </w:p>
    <w:p>
      <w:pPr>
        <w:spacing w:before="280" w:after="80"/>
      </w:pPr>
      <w:r>
        <w:rPr>
          <w:rFonts w:ascii="Times New Roman" w:hAnsi="Times New Roman"/>
          <w:b/>
          <w:color w:val="0F172A"/>
          <w:sz w:val="23"/>
        </w:rPr>
        <w:t>X.  REFERENCES</w:t>
      </w:r>
    </w:p>
    <w:p>
      <w:pPr>
        <w:spacing w:before="20" w:after="40" w:line="264" w:lineRule="auto"/>
      </w:pPr>
      <w:r>
        <w:rPr>
          <w:rFonts w:ascii="Times New Roman" w:hAnsi="Times New Roman"/>
          <w:sz w:val="17"/>
        </w:rPr>
        <w:t>[1] H. Cheng, S.-L. Lo, and J. Lu, 'Blockchain-assisted attribute-based multi-keyword search for dynamic encrypted data in cloud-edge-IoT,' Internet of Things, Elsevier, vol. 36, Art. no. 101838, Dec 2025/2026. DOI: 10.1016/j.iot.2025.101838.</w:t>
      </w:r>
    </w:p>
    <w:p>
      <w:pPr>
        <w:spacing w:before="20" w:after="40" w:line="264" w:lineRule="auto"/>
      </w:pPr>
      <w:r>
        <w:rPr>
          <w:rFonts w:ascii="Times New Roman" w:hAnsi="Times New Roman"/>
          <w:sz w:val="17"/>
        </w:rPr>
        <w:t>[2] D. Gupta, S. Rani, S. Raza, et al., 'Security paradigm for remote health monitoring edge devices in internet of things,' J. King Saud Univ. Comput. Inf. Sci., vol. 35, no. 6, p. 101478, 2023.</w:t>
      </w:r>
    </w:p>
    <w:p>
      <w:pPr>
        <w:spacing w:before="20" w:after="40" w:line="264" w:lineRule="auto"/>
      </w:pPr>
      <w:r>
        <w:rPr>
          <w:rFonts w:ascii="Times New Roman" w:hAnsi="Times New Roman"/>
          <w:sz w:val="17"/>
        </w:rPr>
        <w:t>[3] D. Dhinakaran, N. J. Kumar, N. P. Ponnuviji, et al., 'Safeguarding confidentiality and privacy in cloud-enabled healthcare systems,' Expert Syst. Appl., vol. 279, p. 127584, 2025.</w:t>
      </w:r>
    </w:p>
    <w:p>
      <w:pPr>
        <w:spacing w:before="20" w:after="40" w:line="264" w:lineRule="auto"/>
      </w:pPr>
      <w:r>
        <w:rPr>
          <w:rFonts w:ascii="Times New Roman" w:hAnsi="Times New Roman"/>
          <w:sz w:val="17"/>
        </w:rPr>
        <w:t>[4] V. Janarthanan and T. Annamalai, 'Privacy preservation in healthcare IoT,' Int. J. Inf. Secur., vol. 23, pp. 115-130, 2024.</w:t>
      </w:r>
    </w:p>
    <w:p>
      <w:pPr>
        <w:spacing w:before="20" w:after="40" w:line="264" w:lineRule="auto"/>
      </w:pPr>
      <w:r>
        <w:rPr>
          <w:rFonts w:ascii="Times New Roman" w:hAnsi="Times New Roman"/>
          <w:sz w:val="17"/>
        </w:rPr>
        <w:t>[5] D. Boneh, G. Di Crescenzo, R. Ostrovsky, and G. Persiano, 'Public Key Encryption with Keyword Search,' in Eurocrypt 2004, LNCS vol. 3027, Springer, 2004, pp. 506-522.</w:t>
      </w:r>
    </w:p>
    <w:p>
      <w:pPr>
        <w:spacing w:before="20" w:after="40" w:line="264" w:lineRule="auto"/>
      </w:pPr>
      <w:r>
        <w:rPr>
          <w:rFonts w:ascii="Times New Roman" w:hAnsi="Times New Roman"/>
          <w:sz w:val="17"/>
        </w:rPr>
        <w:t>[6] J. Bethencourt, A. Sahai, and B. Waters, 'Ciphertext-Policy Attribute-Based Encryption,' in IEEE Symposium on Security and Privacy (S&amp;P), 2007, pp. 321-334.</w:t>
      </w:r>
    </w:p>
    <w:p>
      <w:pPr>
        <w:spacing w:before="20" w:after="40" w:line="264" w:lineRule="auto"/>
      </w:pPr>
      <w:r>
        <w:rPr>
          <w:rFonts w:ascii="Times New Roman" w:hAnsi="Times New Roman"/>
          <w:sz w:val="17"/>
        </w:rPr>
        <w:t>[7] A. Sahai and B. Waters, 'Fuzzy identity-based encryption,' in Eurocrypt 2005, LNCS vol. 3494, Springer, 2005, pp. 457-473.</w:t>
      </w:r>
    </w:p>
    <w:p>
      <w:pPr>
        <w:spacing w:before="20" w:after="40" w:line="264" w:lineRule="auto"/>
      </w:pPr>
      <w:r>
        <w:rPr>
          <w:rFonts w:ascii="Times New Roman" w:hAnsi="Times New Roman"/>
          <w:sz w:val="17"/>
        </w:rPr>
        <w:t>[8] B. Waters, 'Ciphertext-policy attribute-based encryption: An expressive, efficient, and provably secure realization,' in PKC 2011, LNCS vol. 6571, Springer, 2011, pp. 53-70.</w:t>
      </w:r>
    </w:p>
    <w:p>
      <w:pPr>
        <w:spacing w:before="20" w:after="40" w:line="264" w:lineRule="auto"/>
      </w:pPr>
      <w:r>
        <w:rPr>
          <w:rFonts w:ascii="Times New Roman" w:hAnsi="Times New Roman"/>
          <w:sz w:val="17"/>
        </w:rPr>
        <w:t>[9] J. Li, Y. Zhang, X. Chen, and Y. Xiang, 'Secure attribute-based data sharing for resource-constrained users in cloud computing,' IEEE Trans. Dependable Secure Comput., vol. 18, no. 2, pp. 794-805, 2021.</w:t>
      </w:r>
    </w:p>
    <w:p>
      <w:pPr>
        <w:spacing w:before="20" w:after="40" w:line="264" w:lineRule="auto"/>
      </w:pPr>
      <w:r>
        <w:rPr>
          <w:rFonts w:ascii="Times New Roman" w:hAnsi="Times New Roman"/>
          <w:sz w:val="17"/>
        </w:rPr>
        <w:t>[10] Y. Zhang, C. Xu, H. Wang, et al., 'Dynamic multi-keyword searchable encryption over encrypted cloud data,' IEEE Trans. Inf. Forensics Security, vol. 18, pp. 1685-1697, 2023.</w:t>
      </w:r>
    </w:p>
    <w:p>
      <w:pPr>
        <w:spacing w:before="20" w:after="40" w:line="264" w:lineRule="auto"/>
      </w:pPr>
      <w:r>
        <w:rPr>
          <w:rFonts w:ascii="Times New Roman" w:hAnsi="Times New Roman"/>
          <w:sz w:val="17"/>
        </w:rPr>
        <w:t>[11] C. P. Schnorr, 'Efficient signature generation by smart cards,' Journal of Cryptology, vol. 4, no. 3, pp. 161-174, 1991.</w:t>
      </w:r>
    </w:p>
    <w:p>
      <w:pPr>
        <w:spacing w:before="20" w:after="40" w:line="264" w:lineRule="auto"/>
      </w:pPr>
      <w:r>
        <w:rPr>
          <w:rFonts w:ascii="Times New Roman" w:hAnsi="Times New Roman"/>
          <w:sz w:val="17"/>
        </w:rPr>
        <w:t>[12] G. Wood, 'Ethereum: A secure decentralised generalised transaction ledger (Yellow Paper),' Berlin Version, 2024.</w:t>
      </w:r>
    </w:p>
    <w:p>
      <w:pPr>
        <w:spacing w:before="20" w:after="40" w:line="264" w:lineRule="auto"/>
      </w:pPr>
      <w:r>
        <w:rPr>
          <w:rFonts w:ascii="Times New Roman" w:hAnsi="Times New Roman"/>
          <w:sz w:val="17"/>
        </w:rPr>
        <w:t>[13] J. Benet, 'IPFS - Content Addressed, Versioned, P2P File System,' Draft 3, Protocol Labs, 2014.</w:t>
      </w:r>
    </w:p>
    <w:p>
      <w:pPr>
        <w:spacing w:before="20" w:after="40" w:line="264" w:lineRule="auto"/>
      </w:pPr>
      <w:r>
        <w:rPr>
          <w:rFonts w:ascii="Times New Roman" w:hAnsi="Times New Roman"/>
          <w:sz w:val="17"/>
        </w:rPr>
        <w:t>[14] Y. Yang, X. Zheng, W. Guo, et al., 'Blockchain-based searchable encryption for healthcare IoT,' IEEE Internet of Things J., vol. 9, no. 19, pp. 18456-18468, 2022.</w:t>
      </w:r>
    </w:p>
    <w:p>
      <w:pPr>
        <w:spacing w:before="20" w:after="40" w:line="264" w:lineRule="auto"/>
      </w:pPr>
      <w:r>
        <w:rPr>
          <w:rFonts w:ascii="Times New Roman" w:hAnsi="Times New Roman"/>
          <w:sz w:val="17"/>
        </w:rPr>
        <w:t>[15] W. Sun, S. Chow, J. Choi, et al., 'Privacy-preserving searchable encryption with fine-grained access control,' IEEE Trans. Parallel Distrib. Syst., vol. 32, no. 4, pp. 883-895, 2021.</w:t>
      </w:r>
    </w:p>
    <w:p>
      <w:pPr>
        <w:spacing w:before="20" w:after="40" w:line="264" w:lineRule="auto"/>
      </w:pPr>
      <w:r>
        <w:rPr>
          <w:rFonts w:ascii="Times New Roman" w:hAnsi="Times New Roman"/>
          <w:sz w:val="17"/>
        </w:rPr>
        <w:t>[16] D. X. Song, D. Wagner, and A. Perrig, 'Practical techniques for searches on encrypted data,' in IEEE Symposium on Security and Privacy, 2000, pp. 44-55.</w:t>
      </w:r>
    </w:p>
    <w:p>
      <w:pPr>
        <w:spacing w:before="20" w:after="40" w:line="264" w:lineRule="auto"/>
      </w:pPr>
      <w:r>
        <w:rPr>
          <w:rFonts w:ascii="Times New Roman" w:hAnsi="Times New Roman"/>
          <w:sz w:val="17"/>
        </w:rPr>
        <w:t>[17] R. Curtmola, J. Garay, S. Kamara, and R. Ostrovsky, 'Searchable symmetric encryption: Improved definitions and efficient constructions,' J. Comput. Secur., vol. 19, no. 5, pp. 895-934, 2011.</w:t>
      </w:r>
    </w:p>
    <w:p>
      <w:pPr>
        <w:spacing w:before="20" w:after="40" w:line="264" w:lineRule="auto"/>
      </w:pPr>
      <w:r>
        <w:rPr>
          <w:rFonts w:ascii="Times New Roman" w:hAnsi="Times New Roman"/>
          <w:sz w:val="17"/>
        </w:rPr>
        <w:t>[18] S. Kamara, C. Papamanthou, and T. Roeder, 'Dynamic searchable symmetric encryption,' in ACM CCS 2012, pp. 965-976.</w:t>
      </w:r>
    </w:p>
    <w:p>
      <w:pPr>
        <w:spacing w:before="20" w:after="40" w:line="264" w:lineRule="auto"/>
      </w:pPr>
      <w:r>
        <w:rPr>
          <w:rFonts w:ascii="Times New Roman" w:hAnsi="Times New Roman"/>
          <w:sz w:val="17"/>
        </w:rPr>
        <w:t>[19] R. Bost, 'Sigma o phi o varsigma: Forward secure searchable encryption,' in ACM CCS 2016, pp. 1143-1154.</w:t>
      </w:r>
    </w:p>
    <w:p>
      <w:pPr>
        <w:spacing w:before="20" w:after="40" w:line="264" w:lineRule="auto"/>
      </w:pPr>
      <w:r>
        <w:rPr>
          <w:rFonts w:ascii="Times New Roman" w:hAnsi="Times New Roman"/>
          <w:sz w:val="17"/>
        </w:rPr>
        <w:t>[20] J. Katz, A. Sahai, and B. Waters, 'Predicate encryption supporting disjunctions, polynomial equations, and inner products,' J. Cryptology, vol. 27, no. 2, pp. 191-224, 2014.</w:t>
      </w:r>
    </w:p>
    <w:p>
      <w:pPr>
        <w:spacing w:before="20" w:after="40" w:line="264" w:lineRule="auto"/>
      </w:pPr>
      <w:r>
        <w:rPr>
          <w:rFonts w:ascii="Times New Roman" w:hAnsi="Times New Roman"/>
          <w:sz w:val="17"/>
        </w:rPr>
        <w:t>[21] V. Goyal, O. Pandey, A. Sahai, and B. Waters, 'Attribute-based encryption for fine-grained access control of encrypted data,' in ACM CCS 2006, pp. 89-98.</w:t>
      </w:r>
    </w:p>
    <w:p>
      <w:pPr>
        <w:spacing w:before="20" w:after="40" w:line="264" w:lineRule="auto"/>
      </w:pPr>
      <w:r>
        <w:rPr>
          <w:rFonts w:ascii="Times New Roman" w:hAnsi="Times New Roman"/>
          <w:sz w:val="17"/>
        </w:rPr>
        <w:t>[22] R. Ostrovsky, A. Sahai, and B. Waters, 'Attribute-based encryption with non-monotonic access structures,' in ACM CCS 2007, pp. 195-203.</w:t>
      </w:r>
    </w:p>
    <w:p>
      <w:pPr>
        <w:spacing w:before="20" w:after="40" w:line="264" w:lineRule="auto"/>
      </w:pPr>
      <w:r>
        <w:rPr>
          <w:rFonts w:ascii="Times New Roman" w:hAnsi="Times New Roman"/>
          <w:sz w:val="17"/>
        </w:rPr>
        <w:t>[23] A. Lewko and B. Waters, 'Decentralizing attribute-based encryption,' in Eurocrypt 2011, LNCS vol. 6632, Springer, 2011, pp. 568-588.</w:t>
      </w:r>
    </w:p>
    <w:p>
      <w:pPr>
        <w:spacing w:before="20" w:after="40" w:line="264" w:lineRule="auto"/>
      </w:pPr>
      <w:r>
        <w:rPr>
          <w:rFonts w:ascii="Times New Roman" w:hAnsi="Times New Roman"/>
          <w:sz w:val="17"/>
        </w:rPr>
        <w:t>[24] M. Chase, 'Multi-authority attribute based encryption,' in TCC 2007, LNCS vol. 4392, Springer, 2007, pp. 515-534.</w:t>
      </w:r>
    </w:p>
    <w:p>
      <w:pPr>
        <w:spacing w:before="20" w:after="40" w:line="264" w:lineRule="auto"/>
      </w:pPr>
      <w:r>
        <w:rPr>
          <w:rFonts w:ascii="Times New Roman" w:hAnsi="Times New Roman"/>
          <w:sz w:val="17"/>
        </w:rPr>
        <w:t>[25] C. Delerablee, P. Paillier, and D. Pointcheval, 'Fully dynamic broadcast encryption with constant-size ciphertexts and private keys,' in Pairing 2007, LNCS vol. 4575, Springer, 2007, pp. 190-207.</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1A1A1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