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36"/>
        </w:rPr>
        <w:t>BAMKS-D: Enabling Dynamic File-Level Operations in Blockchain-Assisted Attribute-Based Multi-Keyword Search for Cloud-Edge-IoT</w:t>
      </w:r>
    </w:p>
    <w:p>
      <w:pPr>
        <w:spacing w:before="0" w:after="240"/>
        <w:jc w:val="center"/>
      </w:pPr>
      <w:r>
        <w:rPr>
          <w:rFonts w:ascii="Times New Roman" w:hAnsi="Times New Roman"/>
          <w:i/>
          <w:color w:val="475569"/>
          <w:sz w:val="21"/>
        </w:rPr>
        <w:t>A Comprehensive Architecture Integration, Algorithmic Prototype &amp; EVM State Revocation Framework</w:t>
        <w:br/>
        <w:t>Resolving the Section 8 Open Research Challenge of Cheng et al. (Elsevier Internet of Things 2026)</w:t>
      </w:r>
    </w:p>
    <w:tbl>
      <w:tblPr>
        <w:tblW w:type="auto" w:w="0"/>
        <w:jc w:val="center"/>
        <w:tblLook w:firstColumn="1" w:firstRow="1" w:lastColumn="0" w:lastRow="0" w:noHBand="0" w:noVBand="1" w:val="04A0"/>
      </w:tblPr>
      <w:tblGrid>
        <w:gridCol w:w="5040"/>
        <w:gridCol w:w="5040"/>
      </w:tblGrid>
      <w:tr>
        <w:tc>
          <w:tcPr>
            <w:tcW w:type="dxa" w:w="4896"/>
            <w:shd w:val="clear" w:color="auto" w:fill="F8FAFC"/>
            <w:tcMar>
              <w:top w:w="100" w:type="dxa"/>
              <w:bottom w:w="100" w:type="dxa"/>
              <w:left w:w="140" w:type="dxa"/>
              <w:right w:w="140" w:type="dxa"/>
            </w:tcMar>
          </w:tcPr>
          <w:p>
            <w:pPr>
              <w:spacing w:line="276" w:lineRule="auto"/>
              <w:jc w:val="center"/>
            </w:pPr>
            <w:r>
              <w:rPr>
                <w:b/>
              </w:rPr>
              <w:t>Prashant Singh</w:t>
              <w:br/>
            </w:r>
            <w:r>
              <w:t>Reg. No: 24BYB1042</w:t>
              <w:br/>
              <w:t>School of Computer Science &amp; Engineering (SCOPE)</w:t>
              <w:br/>
              <w:t>Vellore Institute of Technology (VIT), Chennai</w:t>
              <w:br/>
              <w:t>prashant.singh2024@vitstudent.ac.in</w:t>
            </w:r>
          </w:p>
        </w:tc>
        <w:tc>
          <w:tcPr>
            <w:tcW w:type="dxa" w:w="4896"/>
            <w:shd w:val="clear" w:color="auto" w:fill="F8FAFC"/>
            <w:tcMar>
              <w:top w:w="100" w:type="dxa"/>
              <w:bottom w:w="100" w:type="dxa"/>
              <w:left w:w="140" w:type="dxa"/>
              <w:right w:w="140" w:type="dxa"/>
            </w:tcMar>
          </w:tcPr>
          <w:p>
            <w:pPr>
              <w:spacing w:line="276" w:lineRule="auto"/>
              <w:jc w:val="center"/>
            </w:pPr>
            <w:r>
              <w:rPr>
                <w:b/>
              </w:rPr>
              <w:t>Rushikesh Adak</w:t>
              <w:br/>
            </w:r>
            <w:r>
              <w:t>Reg. No: 24BYB1055</w:t>
              <w:br/>
              <w:t>School of Computer Science &amp; Engineering (SCOPE)</w:t>
              <w:br/>
              <w:t>Vellore Institute of Technology (VIT), Chennai</w:t>
              <w:br/>
              <w:t>adak.rushikesh2024@vitstudent.ac.in</w:t>
            </w:r>
          </w:p>
        </w:tc>
      </w:tr>
    </w:tbl>
    <w:p>
      <w:pPr>
        <w:spacing w:before="160" w:after="240"/>
        <w:jc w:val="center"/>
      </w:pPr>
      <w:r>
        <w:rPr>
          <w:rFonts w:ascii="Times New Roman" w:hAnsi="Times New Roman"/>
          <w:b/>
          <w:color w:val="0369A1"/>
          <w:sz w:val="19"/>
        </w:rPr>
        <w:t>Faculty Project Guide: Prof. Karthika V | Course: Cryptography and Network Security (BCSE309L) | Final Capstone Review 3 Evaluation</w:t>
      </w:r>
    </w:p>
    <w:tbl>
      <w:tblPr>
        <w:tblW w:type="auto" w:w="0"/>
        <w:jc w:val="center"/>
        <w:tblLook w:firstColumn="1" w:firstRow="1" w:lastColumn="0" w:lastRow="0" w:noHBand="0" w:noVBand="1" w:val="04A0"/>
      </w:tblPr>
      <w:tblGrid>
        <w:gridCol w:w="10080"/>
      </w:tblGrid>
      <w:tr>
        <w:tc>
          <w:tcPr>
            <w:tcW w:type="dxa" w:w="10080"/>
            <w:shd w:val="clear" w:color="auto" w:fill="F0F9FF"/>
            <w:tcMar>
              <w:top w:w="140" w:type="dxa"/>
              <w:bottom w:w="140" w:type="dxa"/>
              <w:left w:w="200" w:type="dxa"/>
              <w:right w:w="200" w:type="dxa"/>
            </w:tcMar>
            <w:tcBorders>
              <w:top w:val="none"/>
              <w:left w:val="single" w:sz="24" w:space="0" w:color="0284C7"/>
              <w:bottom w:val="none"/>
              <w:right w:val="none"/>
            </w:tcBorders>
          </w:tcPr>
          <w:p>
            <w:pPr>
              <w:spacing w:before="60" w:after="60" w:line="276" w:lineRule="auto"/>
            </w:pPr>
            <w:r>
              <w:rPr>
                <w:rFonts w:ascii="Times New Roman" w:hAnsi="Times New Roman"/>
                <w:b/>
                <w:color w:val="0F172A"/>
                <w:sz w:val="20"/>
              </w:rPr>
              <w:t xml:space="preserve">ABSTRACT: </w:t>
            </w:r>
            <w:r>
              <w:rPr>
                <w:rFonts w:ascii="Times New Roman" w:hAnsi="Times New Roman"/>
                <w:color w:val="334155"/>
                <w:sz w:val="19"/>
              </w:rPr>
              <w:t>In modern cloud-edge Internet of Medical Things (IoMT) architectures, outsourcing and sharing encrypted Electronic Health Records (EHR) demands fine-grained attribute-based access control, conjunctive multi-keyword search, and mathematically verifiable query results. The state-of-the-art BAMKS scheme introduced by Cheng et al. (Elsevier Internet of Things, vol. 36, 2026) established multi-authority access control and smart contract verification, but operates under a monolithic collection model: updating an index upon file ingestion requires multiplying an update scalar across all L * m existing index entries (O(L * m)), or alternatively re-encrypting the entire file corpus. Furthermore, dynamic file revocation was not formulated in the base scheme. In this paper, we propose BAMKS-D, an architectural integration and algorithmic evaluation framework that resolves Section 8 of Cheng et al. by introducing atomic file-level operations. Our SingleDocAdd protocol decouples the inverted keyword index, operating in strict O(m) time where m is the keyword count of the ingested file. Across 30 clean empirical benchmark runs (m = 3 keywords), BAMKS-D achieves a 5.27x speedup for pure index operations at L = 5,000 files over Cheng et al. Section 5.10 updates, and a 5.46x speedup for like-for-like full file additions (including payload AES encryption), while outperforming naive full re-encryption by 724.0x. For file revocation, SingleDocDelete leverages Solidity state mappings (deletedDocRegistry) to achieve constant-time O(1) execution (50,111 EVM gas units; Delta Gas = 0 across N in {1, 50, 500} registered files) with zero array traversal on the deletion path. We validate the entire protocol through live smart contract deployment on Ethereum Sepolia (0x17b09aad051BcD92EcfF3F08d87B1b333287cB1F), decentralized IPFS storage via Pinata Cloud, and an automated correctness suite across 8 clinical EHR records. A comprehensive, honest disclosure of prototype algebraic assumptions in Z_P*, simulated pairing emulation, off-chain proof verification, and threats to validity is presented.</w:t>
            </w:r>
          </w:p>
        </w:tc>
      </w:tr>
    </w:tbl>
    <w:p>
      <w:pPr>
        <w:spacing w:before="0" w:after="120"/>
      </w:pPr>
    </w:p>
    <w:p>
      <w:pPr>
        <w:spacing w:before="40" w:after="240"/>
      </w:pPr>
      <w:r>
        <w:rPr>
          <w:rFonts w:ascii="Times New Roman" w:hAnsi="Times New Roman"/>
          <w:b/>
          <w:sz w:val="19"/>
        </w:rPr>
        <w:t>Index Terms—</w:t>
      </w:r>
      <w:r>
        <w:rPr>
          <w:rFonts w:ascii="Times New Roman" w:hAnsi="Times New Roman"/>
          <w:sz w:val="19"/>
        </w:rPr>
        <w:t>Searchable Encryption, Ciphertext-Policy Attribute-Based Encryption (CP-ABE), Blockchain, Ethereum Smart Contracts, Dynamic Revocation, Electronic Health Records (EHR), Cloud-Edge-IoT, EVM Gas Optimization.</w:t>
      </w:r>
    </w:p>
    <w:p>
      <w:pPr>
        <w:keepNext/>
        <w:spacing w:before="280" w:after="80"/>
      </w:pPr>
      <w:r>
        <w:rPr>
          <w:rFonts w:ascii="Times New Roman" w:hAnsi="Times New Roman"/>
          <w:b/>
          <w:color w:val="0F172A"/>
          <w:sz w:val="24"/>
        </w:rPr>
        <w:t>I. INTRODUCTION</w:t>
      </w:r>
    </w:p>
    <w:p>
      <w:pPr>
        <w:spacing w:before="0" w:after="100" w:line="276" w:lineRule="auto"/>
        <w:jc w:val="both"/>
      </w:pPr>
      <w:r>
        <w:rPr>
          <w:rFonts w:ascii="Times New Roman" w:hAnsi="Times New Roman"/>
          <w:b/>
          <w:color w:val="0F172A"/>
          <w:sz w:val="20"/>
        </w:rPr>
        <w:t xml:space="preserve">A. Clinical IoMT Evolution &amp; The Cloud Privacy Imperative: </w:t>
      </w:r>
      <w:r>
        <w:rPr>
          <w:rFonts w:ascii="Times New Roman" w:hAnsi="Times New Roman"/>
          <w:color w:val="1E293B"/>
          <w:sz w:val="20"/>
        </w:rPr>
        <w:t>The contemporary healthcare ecosystem is experiencing an unprecedented paradigm shift driven by the rapid deployment of Internet of Medical Things (IoMT) devices. Continuous physiological telemetry streams—including 12-lead electrocardiograms (ECG), photoplethysmography (PPG) vitals, ambulatory blood pressure feeds, and high-resolution neuroimaging scans—are captured at the clinical edge and transmitted to cloud repositories for diagnostic archiving and collaborative clinician review [1], [2]. While cloud outsourcing provides virtually limitless computational scalability and fault-tolerant storage, it concurrently introduces acute data privacy and regulatory compliance concerns. Electronic Health Records (EHR) contain highly sensitive diagnostic narratives and protected health information (PHI) governed by strict regulatory frameworks such as the Health Insurance Portability and Accountability Act (HIPAA) in the United States and the General Data Protection Regulation (GDPR) in the European Union [1]. Consequently, medical records must be encrypted under robust cryptographic primitives prior to transmission beyond the hospital boundary.</w:t>
      </w:r>
    </w:p>
    <w:p>
      <w:pPr>
        <w:spacing w:before="0" w:after="100" w:line="276" w:lineRule="auto"/>
        <w:jc w:val="both"/>
      </w:pPr>
      <w:r>
        <w:rPr>
          <w:rFonts w:ascii="Times New Roman" w:hAnsi="Times New Roman"/>
          <w:b/>
          <w:color w:val="0F172A"/>
          <w:sz w:val="20"/>
        </w:rPr>
        <w:t xml:space="preserve">B. Evolution of Encrypted Search &amp; Attribute-Based Access Control: </w:t>
      </w:r>
      <w:r>
        <w:rPr>
          <w:rFonts w:ascii="Times New Roman" w:hAnsi="Times New Roman"/>
          <w:color w:val="1E293B"/>
          <w:sz w:val="20"/>
        </w:rPr>
        <w:t>Encrypting outsourced medical datasets using conventional symmetric or public-key ciphers fundamentally impairs data utility. Under classical encryption, the Cloud Service Provider (CSP) acts merely as an oblivious bit store; executing search queries requires downloading and decrypting the entire repository on clinician endpoints, imposing prohibitive network bandwidth and battery drainage on resource-constrained mobile and edge devices. To reconcile end-to-end cryptographic confidentiality with expressive server-side querying, Searchable Encryption (SE) primitives were pioneered [3], [4]. In particular, Ciphertext-Policy Attribute-Based Keyword Search (CP-ABKS) has emerged as the premier cryptographic paradigm for multi-user healthcare environments [5], [6]. Originating from verifiable attribute-based search by Zheng et al. [6] and building upon foundational ciphertext-policy attribute-based encryption (CP-ABE) by Bethencourt et al. [3], CP-ABKS enables data owners to embed access policies directly into encrypted indices. Clinicians whose authenticated attributes satisfy the policy can generate search trapdoors and retrieve matching documents without exposing underlying medical keywords or plaintexts to the semi-trusted cloud server.</w:t>
      </w:r>
    </w:p>
    <w:p>
      <w:pPr>
        <w:spacing w:before="0" w:after="100" w:line="276" w:lineRule="auto"/>
        <w:jc w:val="both"/>
      </w:pPr>
      <w:r>
        <w:rPr>
          <w:rFonts w:ascii="Times New Roman" w:hAnsi="Times New Roman"/>
          <w:b/>
          <w:color w:val="0F172A"/>
          <w:sz w:val="20"/>
        </w:rPr>
        <w:t xml:space="preserve">C. Problem Formulation &amp; The Open Research Gap in Cheng et al. [1]: </w:t>
      </w:r>
      <w:r>
        <w:rPr>
          <w:rFonts w:ascii="Times New Roman" w:hAnsi="Times New Roman"/>
          <w:color w:val="1E293B"/>
          <w:sz w:val="20"/>
        </w:rPr>
        <w:t>Recently, Cheng et al. [1] proposed BAMKS (Blockchain-Assisted Attribute-Based Multi-Keyword Search for Dynamic Encrypted Data in Cloud-Edge-IoT), published in Elsevier Internet of Things (2026). The BAMKS framework synthesized several major advancements: (1) decentralized multi-authority key generation to eliminate single-point key escrow, (2) multi-owner collaborative keyword indexing, and (3) blockchain-based result verification utilizing aggregated Schnorr Non-Interactive Zero-Knowledge (SNIZK) proofs [4] to detect lazy or compromised CSP search behavior. However, a critical technical bottleneck persists in the base BAMKS protocol. In Section 8 ('Conclusion and Future Work') of their seminal paper, Cheng et al. explicitly highlighted a major open research problem:</w:t>
        <w:br/>
        <w:br/>
        <w:t>'Although the proposed scheme achieves dynamic credential management, file-level dynamic operations—such as adding, deleting, or modifying individual encrypted records without rebuilding the entire collection—remain an open challenge for fine-grained cloud-edge deployments.' [1]</w:t>
        <w:br/>
        <w:br/>
        <w:t>Specifically, in Section 5.10 of Cheng et al. [1], dynamic index updates are formulated at the collection-version level. To ingest new records into an existing repository of L documents with m keywords each, the data owner must compute an update token X_upd and multiply it across all L * m existing index entries (requiring O(L * m) modular field multiplications). Alternatively, naive re-indexing requires decrypting and re-encrypting the entire document corpus. For enterprise hospital databases containing L = 5,000 records and m = 3 keywords, updating 15,000 index tokens creates an operational bottleneck. Furthermore, document deletion was entirely undefined in the base BAMKS paper, forcing systems to assume an expensive O(L * m) corpus re-encryption baseline or rely on blind cloud compliance.</w:t>
      </w:r>
    </w:p>
    <w:p>
      <w:pPr>
        <w:spacing w:before="0" w:after="100" w:line="276" w:lineRule="auto"/>
        <w:jc w:val="both"/>
      </w:pPr>
      <w:r>
        <w:rPr>
          <w:rFonts w:ascii="Times New Roman" w:hAnsi="Times New Roman"/>
          <w:b/>
          <w:color w:val="0F172A"/>
          <w:sz w:val="20"/>
        </w:rPr>
        <w:t xml:space="preserve">D. Primary Contributions of BAMKS-D: </w:t>
      </w:r>
      <w:r>
        <w:rPr>
          <w:rFonts w:ascii="Times New Roman" w:hAnsi="Times New Roman"/>
          <w:color w:val="1E293B"/>
          <w:sz w:val="20"/>
        </w:rPr>
        <w:t>To resolve the open challenge posed by Cheng et al. [1], this paper presents BAMKS-D (BAMKS-Dynamic), an algorithmic prototype and architecture integration layer that enables atomic, file-level dynamic operations in blockchain-assisted ABKS for cloud-edge IoT environments. The key contributions of this research are summarized as follows:</w:t>
        <w:br/>
        <w:br/>
        <w:t>1. Formulation of Atomic SingleDocAdd Protocol: We decouple the inverted keyword index structure so that appending a new EHR record requires generating index tokens for only the m keywords of that specific file, operating in strict O(m) time and completely eliminating collection-wide re-indexing bottlenecks.</w:t>
        <w:br/>
        <w:t>2. Formulation of Instant SingleDocDelete via EVM Mapping: We design a constant-time O(1) revocation mechanism implemented in Solidity (deletedDocRegistry mapping). Direct keccak256 slot addressing guarantees zero array traversal on the deletion path, avoiding transaction gas exhaustion on public blockchains.</w:t>
        <w:br/>
        <w:t>3. Live Ethereum Sepolia &amp; Decentralized IPFS Deployment: We compile, deploy, and verify the BAMKS_Registry.sol smart contract on the public Ethereum Sepolia Testnet (0x17b09aad051BcD92EcfF3F08d87B1b333287cB1F), reporting mined transaction receipts and pinning encrypted payloads to IPFS via Pinata Cloud.</w:t>
        <w:br/>
        <w:t>4. Rigorous 30-Run Empirical Benchmarking: We evaluate BAMKS-D against both naive re-encryption and the true Cheng et al. Section 5.10 index update baseline across 30 clean independent runs with warm-up anomalies discarded, establishing a 5.27x pure index speedup and a 5.46x like-for-like full file addition speedup at L = 5,000 files.</w:t>
        <w:br/>
        <w:t>5. Mathematical Correctness &amp; Security Proofs: We provide complete algebraic proofs of conjunctive match correctness (Theorem 1), on-chain non-revocation soundness (Theorem 2), and semantic keyword indistinguishability under Chosen-Keyword Attack (Theorem 3).</w:t>
        <w:br/>
        <w:t>6. Transparent Prototype Scope &amp; Academic Integrity: We honestly disclose the prototype's algebraic assumptions in Z_P*, simulated pairing group emulation, off-chain SNIZK verification vs. on-chain RVSC revocation, and threats to validity.</w:t>
      </w:r>
    </w:p>
    <w:p>
      <w:pPr>
        <w:keepNext/>
        <w:spacing w:before="280" w:after="80"/>
      </w:pPr>
      <w:r>
        <w:rPr>
          <w:rFonts w:ascii="Times New Roman" w:hAnsi="Times New Roman"/>
          <w:b/>
          <w:color w:val="0F172A"/>
          <w:sz w:val="24"/>
        </w:rPr>
        <w:t>II. RELATED WORK &amp; LITERATURE REVIEW</w:t>
      </w:r>
    </w:p>
    <w:p>
      <w:pPr>
        <w:spacing w:before="0" w:after="100" w:line="276" w:lineRule="auto"/>
        <w:jc w:val="both"/>
      </w:pPr>
      <w:r>
        <w:rPr>
          <w:rFonts w:ascii="Times New Roman" w:hAnsi="Times New Roman"/>
          <w:b/>
          <w:color w:val="0F172A"/>
          <w:sz w:val="20"/>
        </w:rPr>
        <w:t xml:space="preserve">A. Symmetric &amp; Dynamic Searchable Encryption: </w:t>
      </w:r>
      <w:r>
        <w:rPr>
          <w:rFonts w:ascii="Times New Roman" w:hAnsi="Times New Roman"/>
          <w:color w:val="1E293B"/>
          <w:sz w:val="20"/>
        </w:rPr>
        <w:t>The conceptual genesis of searchable encryption traces back to symmetric searchable encryption (SSE) formulated by Song, Wagner, and Perrig [8], wherein deterministic stream ciphers and keyed pseudo-random functions were employed to scan encrypted documents. Curtmola et al. [9] subsequently formalized rigorous simulation-based security definitions under Non-Adaptive and Adaptive Chosen-Keyword Attacks (IND-CKA1/CKA2) and introduced inverted index architectures that reduced search complexity from linear corpus scans to sub-linear lookups proportional to the number of matching documents. Kamara, Papamanthou, and Roeder [10] extended SSE to dynamic settings (DSSE), enabling document insertions and deletions. However, early DSSE constructions suffered from file-injection attacks exploiting update history leakage. Bost [11] addressed this vulnerability by formalizing forward privacy (ensuring new updates cannot be linked to past search queries) and backward privacy (ensuring deleted records cannot be recovered via subsequent trapdoors) in the Sophos and Diana frameworks.</w:t>
      </w:r>
    </w:p>
    <w:p>
      <w:pPr>
        <w:spacing w:before="0" w:after="100" w:line="276" w:lineRule="auto"/>
        <w:jc w:val="both"/>
      </w:pPr>
      <w:r>
        <w:rPr>
          <w:rFonts w:ascii="Times New Roman" w:hAnsi="Times New Roman"/>
          <w:b/>
          <w:color w:val="0F172A"/>
          <w:sz w:val="20"/>
        </w:rPr>
        <w:t xml:space="preserve">B. Asymmetric PEKS &amp; Verifiable Attribute-Based Search: </w:t>
      </w:r>
      <w:r>
        <w:rPr>
          <w:rFonts w:ascii="Times New Roman" w:hAnsi="Times New Roman"/>
          <w:color w:val="1E293B"/>
          <w:sz w:val="20"/>
        </w:rPr>
        <w:t>To eliminate symmetric pre-shared key distribution bottlenecks across independent data owners and query clients, Boneh, Di Crescenzo, Ostrovsky, and Persiano [12] introduced Public-Key Encryption with Keyword Search (PEKS). In PEKS, any entity possessing the recipient's public key can generate encrypted searchable tokens, while only the private key holder can formulate trapdoors. Despite its elegance, standard PEKS is inherently vulnerable to Inside Keyword Guessing Attacks (IKGA), where an untrusted cloud server tests low-entropy keyword dictionaries against captured trapdoors. To mitigate IKGA and introduce fine-grained authorization, Zheng, Xu, and Ateniese [6] formulated Verifiable Attribute-Based Keyword Search (VABKS), bridging attribute-based encryption with searchable ciphertexts. In VABKS, search permissions are governed by ciphertext policies evaluated over bilinear pairing groups.</w:t>
      </w:r>
    </w:p>
    <w:p>
      <w:pPr>
        <w:spacing w:before="0" w:after="100" w:line="276" w:lineRule="auto"/>
        <w:jc w:val="both"/>
      </w:pPr>
      <w:r>
        <w:rPr>
          <w:rFonts w:ascii="Times New Roman" w:hAnsi="Times New Roman"/>
          <w:b/>
          <w:color w:val="0F172A"/>
          <w:sz w:val="20"/>
        </w:rPr>
        <w:t xml:space="preserve">C. Blockchain-Assisted ABKS &amp; Result Verification: </w:t>
      </w:r>
      <w:r>
        <w:rPr>
          <w:rFonts w:ascii="Times New Roman" w:hAnsi="Times New Roman"/>
          <w:color w:val="1E293B"/>
          <w:sz w:val="20"/>
        </w:rPr>
        <w:t>Attribute-Based Keyword Search (ABKS) systems have evolved across multiple architectural axes. Monotonic tree structures and Linear Secret Sharing Schemes (LSSS) were introduced to enhance policy expressiveness [3], [5]. Multi-authority ABKS schemes (MA-ABKS), pioneered by Chase [13] and Lewko and Waters [14], distributed attribute authority across independent administrative domains, preventing any single entity from compromising the global master secret. Recent research has extensively integrated blockchain ledgers to eliminate single points of failure and enforce verifiable query computation [15], [16]. Liu et al. [17] developed EMK-ABSE for edge-assisted IoT multi-keyword search. Su, Zhang, and Mu [18] proposed BA-RMKABSE, introducing smart contract-assisted keyword updates. Zhang et al. [19] formulated ABCKS, establishing conjunctive multi-keyword search with verifiable fairness across consortium ledgers. Liang et al. [20] introduced VMSE, supporting verifiable dynamic keyword updating via blockchain accumulators. Cheng et al. [1] synthesized these domains in BAMKS, introducing collaborative indexing and aggregated SNIZK result verification, yet left atomic single-file operations unresolved.</w:t>
      </w:r>
    </w:p>
    <w:p>
      <w:pPr>
        <w:keepNext/>
        <w:spacing w:before="200" w:after="60"/>
        <w:jc w:val="center"/>
      </w:pPr>
      <w:r>
        <w:rPr>
          <w:rFonts w:ascii="Times New Roman" w:hAnsi="Times New Roman"/>
          <w:b/>
          <w:color w:val="0F172A"/>
          <w:sz w:val="18"/>
        </w:rPr>
        <w:t xml:space="preserve">TABLE I: </w:t>
      </w:r>
      <w:r>
        <w:rPr>
          <w:rFonts w:ascii="Times New Roman" w:hAnsi="Times New Roman"/>
          <w:b/>
          <w:color w:val="1E3A8A"/>
          <w:sz w:val="17"/>
        </w:rPr>
        <w:t>COMPARATIVE ARCHITECTURE &amp; FEATURE MATRIX OF SEARCHABLE ENCRYPTION SCHEMES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728"/>
            <w:shd w:val="clear" w:color="auto" w:fill="1E3A8A"/>
            <w:tcMar>
              <w:top w:w="120" w:type="dxa"/>
              <w:bottom w:w="120" w:type="dxa"/>
              <w:left w:w="140" w:type="dxa"/>
              <w:right w:w="140" w:type="dxa"/>
            </w:tcMar>
          </w:tcPr>
          <w:p>
            <w:pPr>
              <w:jc w:val="center"/>
            </w:pPr>
            <w:r>
              <w:rPr>
                <w:rFonts w:ascii="Times New Roman" w:hAnsi="Times New Roman"/>
                <w:b/>
                <w:color w:val="FFFFFF"/>
                <w:sz w:val="18"/>
              </w:rPr>
              <w:t>Scheme</w:t>
            </w:r>
          </w:p>
        </w:tc>
        <w:tc>
          <w:tcPr>
            <w:tcW w:type="dxa" w:w="1152"/>
            <w:shd w:val="clear" w:color="auto" w:fill="1E3A8A"/>
            <w:tcMar>
              <w:top w:w="120" w:type="dxa"/>
              <w:bottom w:w="120" w:type="dxa"/>
              <w:left w:w="140" w:type="dxa"/>
              <w:right w:w="140" w:type="dxa"/>
            </w:tcMar>
          </w:tcPr>
          <w:p>
            <w:pPr>
              <w:jc w:val="center"/>
            </w:pPr>
            <w:r>
              <w:rPr>
                <w:rFonts w:ascii="Times New Roman" w:hAnsi="Times New Roman"/>
                <w:b/>
                <w:color w:val="FFFFFF"/>
                <w:sz w:val="18"/>
              </w:rPr>
              <w:t>Conjunctive Multi-KW</w:t>
            </w:r>
          </w:p>
        </w:tc>
        <w:tc>
          <w:tcPr>
            <w:tcW w:type="dxa" w:w="1584"/>
            <w:shd w:val="clear" w:color="auto" w:fill="1E3A8A"/>
            <w:tcMar>
              <w:top w:w="120" w:type="dxa"/>
              <w:bottom w:w="120" w:type="dxa"/>
              <w:left w:w="140" w:type="dxa"/>
              <w:right w:w="140" w:type="dxa"/>
            </w:tcMar>
          </w:tcPr>
          <w:p>
            <w:pPr>
              <w:jc w:val="center"/>
            </w:pPr>
            <w:r>
              <w:rPr>
                <w:rFonts w:ascii="Times New Roman" w:hAnsi="Times New Roman"/>
                <w:b/>
                <w:color w:val="FFFFFF"/>
                <w:sz w:val="18"/>
              </w:rPr>
              <w:t>Access Control Structure</w:t>
            </w:r>
          </w:p>
        </w:tc>
        <w:tc>
          <w:tcPr>
            <w:tcW w:type="dxa" w:w="1440"/>
            <w:shd w:val="clear" w:color="auto" w:fill="1E3A8A"/>
            <w:tcMar>
              <w:top w:w="120" w:type="dxa"/>
              <w:bottom w:w="120" w:type="dxa"/>
              <w:left w:w="140" w:type="dxa"/>
              <w:right w:w="140" w:type="dxa"/>
            </w:tcMar>
          </w:tcPr>
          <w:p>
            <w:pPr>
              <w:jc w:val="center"/>
            </w:pPr>
            <w:r>
              <w:rPr>
                <w:rFonts w:ascii="Times New Roman" w:hAnsi="Times New Roman"/>
                <w:b/>
                <w:color w:val="FFFFFF"/>
                <w:sz w:val="18"/>
              </w:rPr>
              <w:t>Blockchain Integration</w:t>
            </w:r>
          </w:p>
        </w:tc>
        <w:tc>
          <w:tcPr>
            <w:tcW w:type="dxa" w:w="1584"/>
            <w:shd w:val="clear" w:color="auto" w:fill="1E3A8A"/>
            <w:tcMar>
              <w:top w:w="120" w:type="dxa"/>
              <w:bottom w:w="120" w:type="dxa"/>
              <w:left w:w="140" w:type="dxa"/>
              <w:right w:w="140" w:type="dxa"/>
            </w:tcMar>
          </w:tcPr>
          <w:p>
            <w:pPr>
              <w:jc w:val="center"/>
            </w:pPr>
            <w:r>
              <w:rPr>
                <w:rFonts w:ascii="Times New Roman" w:hAnsi="Times New Roman"/>
                <w:b/>
                <w:color w:val="FFFFFF"/>
                <w:sz w:val="18"/>
              </w:rPr>
              <w:t>Dynamic Update Scope</w:t>
            </w:r>
          </w:p>
        </w:tc>
        <w:tc>
          <w:tcPr>
            <w:tcW w:type="dxa" w:w="1296"/>
            <w:shd w:val="clear" w:color="auto" w:fill="1E3A8A"/>
            <w:tcMar>
              <w:top w:w="120" w:type="dxa"/>
              <w:bottom w:w="120" w:type="dxa"/>
              <w:left w:w="140" w:type="dxa"/>
              <w:right w:w="140" w:type="dxa"/>
            </w:tcMar>
          </w:tcPr>
          <w:p>
            <w:pPr>
              <w:jc w:val="center"/>
            </w:pPr>
            <w:r>
              <w:rPr>
                <w:rFonts w:ascii="Times New Roman" w:hAnsi="Times New Roman"/>
                <w:b/>
                <w:color w:val="FFFFFF"/>
                <w:sz w:val="18"/>
              </w:rPr>
              <w:t>Single-Doc Revocation</w:t>
            </w:r>
          </w:p>
        </w:tc>
        <w:tc>
          <w:tcPr>
            <w:tcW w:type="dxa" w:w="1296"/>
            <w:shd w:val="clear" w:color="auto" w:fill="1E3A8A"/>
            <w:tcMar>
              <w:top w:w="120" w:type="dxa"/>
              <w:bottom w:w="120" w:type="dxa"/>
              <w:left w:w="140" w:type="dxa"/>
              <w:right w:w="140" w:type="dxa"/>
            </w:tcMar>
          </w:tcPr>
          <w:p>
            <w:pPr>
              <w:jc w:val="center"/>
            </w:pPr>
            <w:r>
              <w:rPr>
                <w:rFonts w:ascii="Times New Roman" w:hAnsi="Times New Roman"/>
                <w:b/>
                <w:color w:val="FFFFFF"/>
                <w:sz w:val="18"/>
              </w:rPr>
              <w:t>Deletion Complexity</w:t>
            </w:r>
          </w:p>
        </w:tc>
      </w:tr>
      <w:tr>
        <w:tc>
          <w:tcPr>
            <w:tcW w:type="dxa" w:w="1728"/>
            <w:shd w:val="clear" w:color="auto" w:fill="FFFFFF"/>
            <w:tcMar>
              <w:top w:w="80" w:type="dxa"/>
              <w:bottom w:w="80" w:type="dxa"/>
              <w:left w:w="100" w:type="dxa"/>
              <w:right w:w="100" w:type="dxa"/>
            </w:tcMar>
          </w:tcPr>
          <w:p>
            <w:pPr>
              <w:jc w:val="left"/>
            </w:pPr>
            <w:r>
              <w:rPr>
                <w:rFonts w:ascii="Times New Roman" w:hAnsi="Times New Roman"/>
                <w:color w:val="1E293B"/>
                <w:sz w:val="17"/>
              </w:rPr>
              <w:t>VABKS [6]</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No (Single)</w:t>
            </w:r>
          </w:p>
        </w:tc>
        <w:tc>
          <w:tcPr>
            <w:tcW w:type="dxa" w:w="1584"/>
            <w:shd w:val="clear" w:color="auto" w:fill="FFFFFF"/>
            <w:tcMar>
              <w:top w:w="80" w:type="dxa"/>
              <w:bottom w:w="80" w:type="dxa"/>
              <w:left w:w="100" w:type="dxa"/>
              <w:right w:w="100" w:type="dxa"/>
            </w:tcMar>
          </w:tcPr>
          <w:p>
            <w:pPr>
              <w:jc w:val="center"/>
            </w:pPr>
            <w:r>
              <w:rPr>
                <w:rFonts w:ascii="Times New Roman" w:hAnsi="Times New Roman"/>
                <w:color w:val="1E293B"/>
                <w:sz w:val="17"/>
              </w:rPr>
              <w:t>Single-Authority CP-ABE</w:t>
            </w:r>
          </w:p>
        </w:tc>
        <w:tc>
          <w:tcPr>
            <w:tcW w:type="dxa" w:w="1440"/>
            <w:shd w:val="clear" w:color="auto" w:fill="FFFFFF"/>
            <w:tcMar>
              <w:top w:w="80" w:type="dxa"/>
              <w:bottom w:w="80" w:type="dxa"/>
              <w:left w:w="100" w:type="dxa"/>
              <w:right w:w="100" w:type="dxa"/>
            </w:tcMar>
          </w:tcPr>
          <w:p>
            <w:pPr>
              <w:jc w:val="center"/>
            </w:pPr>
            <w:r>
              <w:rPr>
                <w:rFonts w:ascii="Times New Roman" w:hAnsi="Times New Roman"/>
                <w:color w:val="1E293B"/>
                <w:sz w:val="17"/>
              </w:rPr>
              <w:t>None (Cloud Only)</w:t>
            </w:r>
          </w:p>
        </w:tc>
        <w:tc>
          <w:tcPr>
            <w:tcW w:type="dxa" w:w="1584"/>
            <w:shd w:val="clear" w:color="auto" w:fill="FFFFFF"/>
            <w:tcMar>
              <w:top w:w="80" w:type="dxa"/>
              <w:bottom w:w="80" w:type="dxa"/>
              <w:left w:w="100" w:type="dxa"/>
              <w:right w:w="100" w:type="dxa"/>
            </w:tcMar>
          </w:tcPr>
          <w:p>
            <w:pPr>
              <w:jc w:val="center"/>
            </w:pPr>
            <w:r>
              <w:rPr>
                <w:rFonts w:ascii="Times New Roman" w:hAnsi="Times New Roman"/>
                <w:color w:val="1E293B"/>
                <w:sz w:val="17"/>
              </w:rPr>
              <w:t>Static Index</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Unsupported</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O(L * m) Re-encrypt</w:t>
            </w:r>
          </w:p>
        </w:tc>
      </w:tr>
      <w:tr>
        <w:tc>
          <w:tcPr>
            <w:tcW w:type="dxa" w:w="1728"/>
            <w:shd w:val="clear" w:color="auto" w:fill="F8FAFC"/>
            <w:tcMar>
              <w:top w:w="80" w:type="dxa"/>
              <w:bottom w:w="80" w:type="dxa"/>
              <w:left w:w="100" w:type="dxa"/>
              <w:right w:w="100" w:type="dxa"/>
            </w:tcMar>
          </w:tcPr>
          <w:p>
            <w:pPr>
              <w:jc w:val="left"/>
            </w:pPr>
            <w:r>
              <w:rPr>
                <w:rFonts w:ascii="Times New Roman" w:hAnsi="Times New Roman"/>
                <w:color w:val="1E293B"/>
                <w:sz w:val="17"/>
              </w:rPr>
              <w:t>EMK-ABSE [17]</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Yes</w:t>
            </w:r>
          </w:p>
        </w:tc>
        <w:tc>
          <w:tcPr>
            <w:tcW w:type="dxa" w:w="1584"/>
            <w:shd w:val="clear" w:color="auto" w:fill="F8FAFC"/>
            <w:tcMar>
              <w:top w:w="80" w:type="dxa"/>
              <w:bottom w:w="80" w:type="dxa"/>
              <w:left w:w="100" w:type="dxa"/>
              <w:right w:w="100" w:type="dxa"/>
            </w:tcMar>
          </w:tcPr>
          <w:p>
            <w:pPr>
              <w:jc w:val="center"/>
            </w:pPr>
            <w:r>
              <w:rPr>
                <w:rFonts w:ascii="Times New Roman" w:hAnsi="Times New Roman"/>
                <w:color w:val="1E293B"/>
                <w:sz w:val="17"/>
              </w:rPr>
              <w:t>Edge-Assisted CP-ABE</w:t>
            </w:r>
          </w:p>
        </w:tc>
        <w:tc>
          <w:tcPr>
            <w:tcW w:type="dxa" w:w="1440"/>
            <w:shd w:val="clear" w:color="auto" w:fill="F8FAFC"/>
            <w:tcMar>
              <w:top w:w="80" w:type="dxa"/>
              <w:bottom w:w="80" w:type="dxa"/>
              <w:left w:w="100" w:type="dxa"/>
              <w:right w:w="100" w:type="dxa"/>
            </w:tcMar>
          </w:tcPr>
          <w:p>
            <w:pPr>
              <w:jc w:val="center"/>
            </w:pPr>
            <w:r>
              <w:rPr>
                <w:rFonts w:ascii="Times New Roman" w:hAnsi="Times New Roman"/>
                <w:color w:val="1E293B"/>
                <w:sz w:val="17"/>
              </w:rPr>
              <w:t>None (Cloud Only)</w:t>
            </w:r>
          </w:p>
        </w:tc>
        <w:tc>
          <w:tcPr>
            <w:tcW w:type="dxa" w:w="1584"/>
            <w:shd w:val="clear" w:color="auto" w:fill="F8FAFC"/>
            <w:tcMar>
              <w:top w:w="80" w:type="dxa"/>
              <w:bottom w:w="80" w:type="dxa"/>
              <w:left w:w="100" w:type="dxa"/>
              <w:right w:w="100" w:type="dxa"/>
            </w:tcMar>
          </w:tcPr>
          <w:p>
            <w:pPr>
              <w:jc w:val="center"/>
            </w:pPr>
            <w:r>
              <w:rPr>
                <w:rFonts w:ascii="Times New Roman" w:hAnsi="Times New Roman"/>
                <w:color w:val="1E293B"/>
                <w:sz w:val="17"/>
              </w:rPr>
              <w:t>Static Index</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Unsupported</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O(L * m) Re-encrypt</w:t>
            </w:r>
          </w:p>
        </w:tc>
      </w:tr>
      <w:tr>
        <w:tc>
          <w:tcPr>
            <w:tcW w:type="dxa" w:w="1728"/>
            <w:shd w:val="clear" w:color="auto" w:fill="FFFFFF"/>
            <w:tcMar>
              <w:top w:w="80" w:type="dxa"/>
              <w:bottom w:w="80" w:type="dxa"/>
              <w:left w:w="100" w:type="dxa"/>
              <w:right w:w="100" w:type="dxa"/>
            </w:tcMar>
          </w:tcPr>
          <w:p>
            <w:pPr>
              <w:jc w:val="left"/>
            </w:pPr>
            <w:r>
              <w:rPr>
                <w:rFonts w:ascii="Times New Roman" w:hAnsi="Times New Roman"/>
                <w:color w:val="1E293B"/>
                <w:sz w:val="17"/>
              </w:rPr>
              <w:t>BA-RMKABSE [18]</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Yes</w:t>
            </w:r>
          </w:p>
        </w:tc>
        <w:tc>
          <w:tcPr>
            <w:tcW w:type="dxa" w:w="1584"/>
            <w:shd w:val="clear" w:color="auto" w:fill="FFFFFF"/>
            <w:tcMar>
              <w:top w:w="80" w:type="dxa"/>
              <w:bottom w:w="80" w:type="dxa"/>
              <w:left w:w="100" w:type="dxa"/>
              <w:right w:w="100" w:type="dxa"/>
            </w:tcMar>
          </w:tcPr>
          <w:p>
            <w:pPr>
              <w:jc w:val="center"/>
            </w:pPr>
            <w:r>
              <w:rPr>
                <w:rFonts w:ascii="Times New Roman" w:hAnsi="Times New Roman"/>
                <w:color w:val="1E293B"/>
                <w:sz w:val="17"/>
              </w:rPr>
              <w:t>Attribute Hiding CP-ABE</w:t>
            </w:r>
          </w:p>
        </w:tc>
        <w:tc>
          <w:tcPr>
            <w:tcW w:type="dxa" w:w="1440"/>
            <w:shd w:val="clear" w:color="auto" w:fill="FFFFFF"/>
            <w:tcMar>
              <w:top w:w="80" w:type="dxa"/>
              <w:bottom w:w="80" w:type="dxa"/>
              <w:left w:w="100" w:type="dxa"/>
              <w:right w:w="100" w:type="dxa"/>
            </w:tcMar>
          </w:tcPr>
          <w:p>
            <w:pPr>
              <w:jc w:val="center"/>
            </w:pPr>
            <w:r>
              <w:rPr>
                <w:rFonts w:ascii="Times New Roman" w:hAnsi="Times New Roman"/>
                <w:color w:val="1E293B"/>
                <w:sz w:val="17"/>
              </w:rPr>
              <w:t>Ethereum Smart Contract</w:t>
            </w:r>
          </w:p>
        </w:tc>
        <w:tc>
          <w:tcPr>
            <w:tcW w:type="dxa" w:w="1584"/>
            <w:shd w:val="clear" w:color="auto" w:fill="FFFFFF"/>
            <w:tcMar>
              <w:top w:w="80" w:type="dxa"/>
              <w:bottom w:w="80" w:type="dxa"/>
              <w:left w:w="100" w:type="dxa"/>
              <w:right w:w="100" w:type="dxa"/>
            </w:tcMar>
          </w:tcPr>
          <w:p>
            <w:pPr>
              <w:jc w:val="center"/>
            </w:pPr>
            <w:r>
              <w:rPr>
                <w:rFonts w:ascii="Times New Roman" w:hAnsi="Times New Roman"/>
                <w:color w:val="1E293B"/>
                <w:sz w:val="17"/>
              </w:rPr>
              <w:t>Keyword-Level Update</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Unsupported</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Attribute Re-keying</w:t>
            </w:r>
          </w:p>
        </w:tc>
      </w:tr>
      <w:tr>
        <w:tc>
          <w:tcPr>
            <w:tcW w:type="dxa" w:w="1728"/>
            <w:shd w:val="clear" w:color="auto" w:fill="F8FAFC"/>
            <w:tcMar>
              <w:top w:w="80" w:type="dxa"/>
              <w:bottom w:w="80" w:type="dxa"/>
              <w:left w:w="100" w:type="dxa"/>
              <w:right w:w="100" w:type="dxa"/>
            </w:tcMar>
          </w:tcPr>
          <w:p>
            <w:pPr>
              <w:jc w:val="left"/>
            </w:pPr>
            <w:r>
              <w:rPr>
                <w:rFonts w:ascii="Times New Roman" w:hAnsi="Times New Roman"/>
                <w:color w:val="1E293B"/>
                <w:sz w:val="17"/>
              </w:rPr>
              <w:t>ABCKS [19]</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Yes</w:t>
            </w:r>
          </w:p>
        </w:tc>
        <w:tc>
          <w:tcPr>
            <w:tcW w:type="dxa" w:w="1584"/>
            <w:shd w:val="clear" w:color="auto" w:fill="F8FAFC"/>
            <w:tcMar>
              <w:top w:w="80" w:type="dxa"/>
              <w:bottom w:w="80" w:type="dxa"/>
              <w:left w:w="100" w:type="dxa"/>
              <w:right w:w="100" w:type="dxa"/>
            </w:tcMar>
          </w:tcPr>
          <w:p>
            <w:pPr>
              <w:jc w:val="center"/>
            </w:pPr>
            <w:r>
              <w:rPr>
                <w:rFonts w:ascii="Times New Roman" w:hAnsi="Times New Roman"/>
                <w:color w:val="1E293B"/>
                <w:sz w:val="17"/>
              </w:rPr>
              <w:t>Multi-Authority CP-ABE</w:t>
            </w:r>
          </w:p>
        </w:tc>
        <w:tc>
          <w:tcPr>
            <w:tcW w:type="dxa" w:w="1440"/>
            <w:shd w:val="clear" w:color="auto" w:fill="F8FAFC"/>
            <w:tcMar>
              <w:top w:w="80" w:type="dxa"/>
              <w:bottom w:w="80" w:type="dxa"/>
              <w:left w:w="100" w:type="dxa"/>
              <w:right w:w="100" w:type="dxa"/>
            </w:tcMar>
          </w:tcPr>
          <w:p>
            <w:pPr>
              <w:jc w:val="center"/>
            </w:pPr>
            <w:r>
              <w:rPr>
                <w:rFonts w:ascii="Times New Roman" w:hAnsi="Times New Roman"/>
                <w:color w:val="1E293B"/>
                <w:sz w:val="17"/>
              </w:rPr>
              <w:t>Consortium Ledger</w:t>
            </w:r>
          </w:p>
        </w:tc>
        <w:tc>
          <w:tcPr>
            <w:tcW w:type="dxa" w:w="1584"/>
            <w:shd w:val="clear" w:color="auto" w:fill="F8FAFC"/>
            <w:tcMar>
              <w:top w:w="80" w:type="dxa"/>
              <w:bottom w:w="80" w:type="dxa"/>
              <w:left w:w="100" w:type="dxa"/>
              <w:right w:w="100" w:type="dxa"/>
            </w:tcMar>
          </w:tcPr>
          <w:p>
            <w:pPr>
              <w:jc w:val="center"/>
            </w:pPr>
            <w:r>
              <w:rPr>
                <w:rFonts w:ascii="Times New Roman" w:hAnsi="Times New Roman"/>
                <w:color w:val="1E293B"/>
                <w:sz w:val="17"/>
              </w:rPr>
              <w:t>Static Collection</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Unsupported</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Version Increment</w:t>
            </w:r>
          </w:p>
        </w:tc>
      </w:tr>
      <w:tr>
        <w:tc>
          <w:tcPr>
            <w:tcW w:type="dxa" w:w="1728"/>
            <w:shd w:val="clear" w:color="auto" w:fill="FFFFFF"/>
            <w:tcMar>
              <w:top w:w="80" w:type="dxa"/>
              <w:bottom w:w="80" w:type="dxa"/>
              <w:left w:w="100" w:type="dxa"/>
              <w:right w:w="100" w:type="dxa"/>
            </w:tcMar>
          </w:tcPr>
          <w:p>
            <w:pPr>
              <w:jc w:val="left"/>
            </w:pPr>
            <w:r>
              <w:rPr>
                <w:rFonts w:ascii="Times New Roman" w:hAnsi="Times New Roman"/>
                <w:color w:val="1E293B"/>
                <w:sz w:val="17"/>
              </w:rPr>
              <w:t>VMSE [20]</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Yes</w:t>
            </w:r>
          </w:p>
        </w:tc>
        <w:tc>
          <w:tcPr>
            <w:tcW w:type="dxa" w:w="1584"/>
            <w:shd w:val="clear" w:color="auto" w:fill="FFFFFF"/>
            <w:tcMar>
              <w:top w:w="80" w:type="dxa"/>
              <w:bottom w:w="80" w:type="dxa"/>
              <w:left w:w="100" w:type="dxa"/>
              <w:right w:w="100" w:type="dxa"/>
            </w:tcMar>
          </w:tcPr>
          <w:p>
            <w:pPr>
              <w:jc w:val="center"/>
            </w:pPr>
            <w:r>
              <w:rPr>
                <w:rFonts w:ascii="Times New Roman" w:hAnsi="Times New Roman"/>
                <w:color w:val="1E293B"/>
                <w:sz w:val="17"/>
              </w:rPr>
              <w:t>Multi-User System</w:t>
            </w:r>
          </w:p>
        </w:tc>
        <w:tc>
          <w:tcPr>
            <w:tcW w:type="dxa" w:w="1440"/>
            <w:shd w:val="clear" w:color="auto" w:fill="FFFFFF"/>
            <w:tcMar>
              <w:top w:w="80" w:type="dxa"/>
              <w:bottom w:w="80" w:type="dxa"/>
              <w:left w:w="100" w:type="dxa"/>
              <w:right w:w="100" w:type="dxa"/>
            </w:tcMar>
          </w:tcPr>
          <w:p>
            <w:pPr>
              <w:jc w:val="center"/>
            </w:pPr>
            <w:r>
              <w:rPr>
                <w:rFonts w:ascii="Times New Roman" w:hAnsi="Times New Roman"/>
                <w:color w:val="1E293B"/>
                <w:sz w:val="17"/>
              </w:rPr>
              <w:t>None (Cloud Only)</w:t>
            </w:r>
          </w:p>
        </w:tc>
        <w:tc>
          <w:tcPr>
            <w:tcW w:type="dxa" w:w="1584"/>
            <w:shd w:val="clear" w:color="auto" w:fill="FFFFFF"/>
            <w:tcMar>
              <w:top w:w="80" w:type="dxa"/>
              <w:bottom w:w="80" w:type="dxa"/>
              <w:left w:w="100" w:type="dxa"/>
              <w:right w:w="100" w:type="dxa"/>
            </w:tcMar>
          </w:tcPr>
          <w:p>
            <w:pPr>
              <w:jc w:val="center"/>
            </w:pPr>
            <w:r>
              <w:rPr>
                <w:rFonts w:ascii="Times New Roman" w:hAnsi="Times New Roman"/>
                <w:color w:val="1E293B"/>
                <w:sz w:val="17"/>
              </w:rPr>
              <w:t>Keyword-Level Update</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Unsupported</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Tree Rebalancing</w:t>
            </w:r>
          </w:p>
        </w:tc>
      </w:tr>
      <w:tr>
        <w:tc>
          <w:tcPr>
            <w:tcW w:type="dxa" w:w="1728"/>
            <w:shd w:val="clear" w:color="auto" w:fill="F8FAFC"/>
            <w:tcMar>
              <w:top w:w="80" w:type="dxa"/>
              <w:bottom w:w="80" w:type="dxa"/>
              <w:left w:w="100" w:type="dxa"/>
              <w:right w:w="100" w:type="dxa"/>
            </w:tcMar>
          </w:tcPr>
          <w:p>
            <w:pPr>
              <w:jc w:val="left"/>
            </w:pPr>
            <w:r>
              <w:rPr>
                <w:rFonts w:ascii="Times New Roman" w:hAnsi="Times New Roman"/>
                <w:color w:val="1E293B"/>
                <w:sz w:val="17"/>
              </w:rPr>
              <w:t>BAMKS [1]</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Yes</w:t>
            </w:r>
          </w:p>
        </w:tc>
        <w:tc>
          <w:tcPr>
            <w:tcW w:type="dxa" w:w="1584"/>
            <w:shd w:val="clear" w:color="auto" w:fill="F8FAFC"/>
            <w:tcMar>
              <w:top w:w="80" w:type="dxa"/>
              <w:bottom w:w="80" w:type="dxa"/>
              <w:left w:w="100" w:type="dxa"/>
              <w:right w:w="100" w:type="dxa"/>
            </w:tcMar>
          </w:tcPr>
          <w:p>
            <w:pPr>
              <w:jc w:val="center"/>
            </w:pPr>
            <w:r>
              <w:rPr>
                <w:rFonts w:ascii="Times New Roman" w:hAnsi="Times New Roman"/>
                <w:color w:val="1E293B"/>
                <w:sz w:val="17"/>
              </w:rPr>
              <w:t>Multi-Authority CP-ABE</w:t>
            </w:r>
          </w:p>
        </w:tc>
        <w:tc>
          <w:tcPr>
            <w:tcW w:type="dxa" w:w="1440"/>
            <w:shd w:val="clear" w:color="auto" w:fill="F8FAFC"/>
            <w:tcMar>
              <w:top w:w="80" w:type="dxa"/>
              <w:bottom w:w="80" w:type="dxa"/>
              <w:left w:w="100" w:type="dxa"/>
              <w:right w:w="100" w:type="dxa"/>
            </w:tcMar>
          </w:tcPr>
          <w:p>
            <w:pPr>
              <w:jc w:val="center"/>
            </w:pPr>
            <w:r>
              <w:rPr>
                <w:rFonts w:ascii="Times New Roman" w:hAnsi="Times New Roman"/>
                <w:color w:val="1E293B"/>
                <w:sz w:val="17"/>
              </w:rPr>
              <w:t>Ethereum Smart Contract</w:t>
            </w:r>
          </w:p>
        </w:tc>
        <w:tc>
          <w:tcPr>
            <w:tcW w:type="dxa" w:w="1584"/>
            <w:shd w:val="clear" w:color="auto" w:fill="F8FAFC"/>
            <w:tcMar>
              <w:top w:w="80" w:type="dxa"/>
              <w:bottom w:w="80" w:type="dxa"/>
              <w:left w:w="100" w:type="dxa"/>
              <w:right w:w="100" w:type="dxa"/>
            </w:tcMar>
          </w:tcPr>
          <w:p>
            <w:pPr>
              <w:jc w:val="center"/>
            </w:pPr>
            <w:r>
              <w:rPr>
                <w:rFonts w:ascii="Times New Roman" w:hAnsi="Times New Roman"/>
                <w:color w:val="1E293B"/>
                <w:sz w:val="17"/>
              </w:rPr>
              <w:t>Corpus Version (L*m)</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Undefined in Paper</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O(L * m) Assumed</w:t>
            </w:r>
          </w:p>
        </w:tc>
      </w:tr>
      <w:tr>
        <w:tc>
          <w:tcPr>
            <w:tcW w:type="dxa" w:w="1728"/>
            <w:shd w:val="clear" w:color="auto" w:fill="FFFFFF"/>
            <w:tcMar>
              <w:top w:w="80" w:type="dxa"/>
              <w:bottom w:w="80" w:type="dxa"/>
              <w:left w:w="100" w:type="dxa"/>
              <w:right w:w="100" w:type="dxa"/>
            </w:tcMar>
          </w:tcPr>
          <w:p>
            <w:pPr>
              <w:jc w:val="left"/>
            </w:pPr>
            <w:r>
              <w:rPr>
                <w:rFonts w:ascii="Times New Roman" w:hAnsi="Times New Roman"/>
                <w:color w:val="1E293B"/>
                <w:sz w:val="17"/>
              </w:rPr>
              <w:t>BAMKS-D (Ours)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Yes</w:t>
            </w:r>
          </w:p>
        </w:tc>
        <w:tc>
          <w:tcPr>
            <w:tcW w:type="dxa" w:w="1584"/>
            <w:shd w:val="clear" w:color="auto" w:fill="FFFFFF"/>
            <w:tcMar>
              <w:top w:w="80" w:type="dxa"/>
              <w:bottom w:w="80" w:type="dxa"/>
              <w:left w:w="100" w:type="dxa"/>
              <w:right w:w="100" w:type="dxa"/>
            </w:tcMar>
          </w:tcPr>
          <w:p>
            <w:pPr>
              <w:jc w:val="center"/>
            </w:pPr>
            <w:r>
              <w:rPr>
                <w:rFonts w:ascii="Times New Roman" w:hAnsi="Times New Roman"/>
                <w:color w:val="1E293B"/>
                <w:sz w:val="17"/>
              </w:rPr>
              <w:t>Multi-Authority CP-ABE</w:t>
            </w:r>
          </w:p>
        </w:tc>
        <w:tc>
          <w:tcPr>
            <w:tcW w:type="dxa" w:w="1440"/>
            <w:shd w:val="clear" w:color="auto" w:fill="FFFFFF"/>
            <w:tcMar>
              <w:top w:w="80" w:type="dxa"/>
              <w:bottom w:w="80" w:type="dxa"/>
              <w:left w:w="100" w:type="dxa"/>
              <w:right w:w="100" w:type="dxa"/>
            </w:tcMar>
          </w:tcPr>
          <w:p>
            <w:pPr>
              <w:jc w:val="center"/>
            </w:pPr>
            <w:r>
              <w:rPr>
                <w:rFonts w:ascii="Times New Roman" w:hAnsi="Times New Roman"/>
                <w:color w:val="1E293B"/>
                <w:sz w:val="17"/>
              </w:rPr>
              <w:t>Ethereum Sepolia (Live)</w:t>
            </w:r>
          </w:p>
        </w:tc>
        <w:tc>
          <w:tcPr>
            <w:tcW w:type="dxa" w:w="1584"/>
            <w:shd w:val="clear" w:color="auto" w:fill="FFFFFF"/>
            <w:tcMar>
              <w:top w:w="80" w:type="dxa"/>
              <w:bottom w:w="80" w:type="dxa"/>
              <w:left w:w="100" w:type="dxa"/>
              <w:right w:w="100" w:type="dxa"/>
            </w:tcMar>
          </w:tcPr>
          <w:p>
            <w:pPr>
              <w:jc w:val="center"/>
            </w:pPr>
            <w:r>
              <w:rPr>
                <w:rFonts w:ascii="Times New Roman" w:hAnsi="Times New Roman"/>
                <w:color w:val="1E293B"/>
                <w:sz w:val="17"/>
              </w:rPr>
              <w:t>Atomic Single-Doc (m)</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EVM State Mapping</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Strict O(1) Constant</w:t>
            </w:r>
          </w:p>
        </w:tc>
      </w:tr>
    </w:tbl>
    <w:p>
      <w:pPr>
        <w:keepNext/>
        <w:spacing w:before="280" w:after="80"/>
      </w:pPr>
      <w:r>
        <w:rPr>
          <w:rFonts w:ascii="Times New Roman" w:hAnsi="Times New Roman"/>
          <w:b/>
          <w:color w:val="0F172A"/>
          <w:sz w:val="24"/>
        </w:rPr>
        <w:t>III. MATHEMATICAL &amp; CRYPTOGRAPHIC FOUNDATIONS</w:t>
      </w:r>
    </w:p>
    <w:p>
      <w:pPr>
        <w:spacing w:before="0" w:after="100" w:line="276" w:lineRule="auto"/>
        <w:jc w:val="both"/>
      </w:pPr>
      <w:r>
        <w:rPr>
          <w:rFonts w:ascii="Times New Roman" w:hAnsi="Times New Roman"/>
          <w:b/>
          <w:color w:val="0F172A"/>
          <w:sz w:val="20"/>
        </w:rPr>
        <w:t xml:space="preserve">A. Bilinear Pairings &amp; Group Assumptions: </w:t>
      </w:r>
      <w:r>
        <w:rPr>
          <w:rFonts w:ascii="Times New Roman" w:hAnsi="Times New Roman"/>
          <w:color w:val="1E293B"/>
          <w:sz w:val="20"/>
        </w:rPr>
        <w:t>Let G_1, G_2, and G_T be cyclic groups of large prime order p, and let g_1 in G_1, g_2 in G_2 be respective generators. A bilinear map e: G_1 x G_2 -&gt; G_T satisfies three fundamental properties: (1) Bilinearity: e(g_1^a, g_2^b) = e(g_1, g_2)^(a*b) for all a, b in Z_p; (2) Non-degeneracy: e(g_1, g_2) != 1; and (3) Computability: there exists an efficient polynomial-time algorithm to evaluate e(P, Q) for all P in G_1, Q in G_2. In Type-I (symmetric) pairings, G_1 = G_2; in Type-III (asymmetric) pairings, G_1 != G_2 and no efficiently computable homomorphism exists between G_1 and G_2 [5].</w:t>
      </w:r>
    </w:p>
    <w:p>
      <w:pPr>
        <w:spacing w:before="0" w:after="100" w:line="276" w:lineRule="auto"/>
        <w:jc w:val="both"/>
      </w:pPr>
      <w:r>
        <w:rPr>
          <w:rFonts w:ascii="Times New Roman" w:hAnsi="Times New Roman"/>
          <w:b/>
          <w:color w:val="0F172A"/>
          <w:sz w:val="20"/>
        </w:rPr>
        <w:t xml:space="preserve">B. Complexity Assumptions (DBDH and Discrete Logarithm): </w:t>
      </w:r>
      <w:r>
        <w:rPr>
          <w:rFonts w:ascii="Times New Roman" w:hAnsi="Times New Roman"/>
          <w:color w:val="1E293B"/>
          <w:sz w:val="20"/>
        </w:rPr>
        <w:t>The semantic confidentiality of attribute-based keyword search relies on the hardness of the Decisional Bilinear Diffie-Hellman (DBDH) problem. Given a challenge tuple (g, g^a, g^b, g^c, Z) in G_1^4 x G_T for unknown uniformly distributed secrets a, b, c in Z_p, the DBDH assumption posits that no probabilistic polynomial-time (PPT) adversary can distinguish Z = e(g, g)^(a*b*c) from a uniformly random element R in G_T with non-negligible advantage:</w:t>
        <w:br/>
        <w:br/>
        <w:t>Adv_DBDH(A) = | Pr[A(g, g^a, g^b, g^c, e(g, g)^(a*b*c)) = 1] - Pr[A(g, g^a, g^b, g^c, R) = 1] | &lt;= negl(lambda)</w:t>
        <w:br/>
        <w:br/>
        <w:t>Similarly, the Discrete Logarithm (DL) problem posits that given (g, g^x) in G_1, computing x in Z_p requires super-polynomial time.</w:t>
      </w:r>
    </w:p>
    <w:p>
      <w:pPr>
        <w:spacing w:before="0" w:after="100" w:line="276" w:lineRule="auto"/>
        <w:jc w:val="both"/>
      </w:pPr>
      <w:r>
        <w:rPr>
          <w:rFonts w:ascii="Times New Roman" w:hAnsi="Times New Roman"/>
          <w:b/>
          <w:color w:val="0F172A"/>
          <w:sz w:val="20"/>
        </w:rPr>
        <w:t xml:space="preserve">C. Aggregated Schnorr Non-Interactive Zero-Knowledge (SNIZK) Proofs: </w:t>
      </w:r>
      <w:r>
        <w:rPr>
          <w:rFonts w:ascii="Times New Roman" w:hAnsi="Times New Roman"/>
          <w:color w:val="1E293B"/>
          <w:sz w:val="20"/>
        </w:rPr>
        <w:t>A Schnorr Non-Interactive Zero-Knowledge (SNIZK) argument of knowledge allows a prover possessing secret witness x to convince a verifier that they know x satisfying public commitment Y = g^x without disclosing x [4]. The protocol proceeds via the Fiat-Shamir transformation:</w:t>
        <w:br/>
        <w:t>1. Commitment: Prover samples ephemeral randomness r in Z_p and computes R = g^r.</w:t>
        <w:br/>
        <w:t>2. Challenge: Prover hashes commitment, public key, and query context: c = H(g || Y || R || Context).</w:t>
        <w:br/>
        <w:t>3. Response: Prover computes response scalar: s = r + c * x mod p.</w:t>
        <w:br/>
        <w:t>4. Verification: Verifier accepts if and only if: g^s == R * Y^c.</w:t>
        <w:br/>
        <w:t>In BAMKS and BAMKS-D, SNIZK proofs generated across multiple matching keywords are aggregated into a single proof (R_agg, pi_agg), reducing verification complexity.</w:t>
      </w:r>
    </w:p>
    <w:p>
      <w:pPr>
        <w:spacing w:before="0" w:after="100" w:line="276" w:lineRule="auto"/>
        <w:jc w:val="both"/>
      </w:pPr>
      <w:r>
        <w:rPr>
          <w:rFonts w:ascii="Times New Roman" w:hAnsi="Times New Roman"/>
          <w:b/>
          <w:color w:val="0F172A"/>
          <w:sz w:val="20"/>
        </w:rPr>
        <w:t xml:space="preserve">D. Prototype Algebraic Parameterization in Z_P*: </w:t>
      </w:r>
      <w:r>
        <w:rPr>
          <w:rFonts w:ascii="Times New Roman" w:hAnsi="Times New Roman"/>
          <w:color w:val="1E293B"/>
          <w:sz w:val="20"/>
        </w:rPr>
        <w:t>In our software prototype implementation, field arithmetic is evaluated in the multiplicative group (Z_P*, *) using the 256-bit prime P = 2^256 - 2^32 - 977 (the secp256k1 field prime), with base generator g = 2. We explicitly document that Z_P* has order P - 1 (which is even and composite) rather than prime order P, and does not support bilinear pairings e(g, g). Bilinear map evaluations are simulated via modular exponentiation for protocol demonstration. Cryptographic hash functions include H_1: {0,1}* -&gt; Z_P* (keyword scalar hashing) and H_2: {0,1}* -&gt; {0,1}^256 (SHA-256 for symmetric key derivation).</w:t>
      </w:r>
    </w:p>
    <w:p>
      <w:pPr>
        <w:keepNext/>
        <w:spacing w:before="200" w:after="60"/>
        <w:jc w:val="center"/>
      </w:pPr>
      <w:r>
        <w:rPr>
          <w:rFonts w:ascii="Times New Roman" w:hAnsi="Times New Roman"/>
          <w:b/>
          <w:color w:val="0F172A"/>
          <w:sz w:val="18"/>
        </w:rPr>
        <w:t xml:space="preserve">TABLE II: </w:t>
      </w:r>
      <w:r>
        <w:rPr>
          <w:rFonts w:ascii="Times New Roman" w:hAnsi="Times New Roman"/>
          <w:b/>
          <w:color w:val="1E3A8A"/>
          <w:sz w:val="17"/>
        </w:rPr>
        <w:t>CRYPTOGRAPHIC NOTATION &amp; SYSTEM PARAMETER DEFINITIONS</w:t>
      </w:r>
    </w:p>
    <w:tbl>
      <w:tblPr>
        <w:tblW w:type="auto" w:w="0"/>
        <w:jc w:val="center"/>
        <w:tblLook w:firstColumn="1" w:firstRow="1" w:lastColumn="0" w:lastRow="0" w:noHBand="0" w:noVBand="1" w:val="04A0"/>
      </w:tblPr>
      <w:tblGrid>
        <w:gridCol w:w="3360"/>
        <w:gridCol w:w="3360"/>
        <w:gridCol w:w="3360"/>
      </w:tblGrid>
      <w:tr>
        <w:tc>
          <w:tcPr>
            <w:tcW w:type="dxa" w:w="2160"/>
            <w:shd w:val="clear" w:color="auto" w:fill="1E3A8A"/>
            <w:tcMar>
              <w:top w:w="120" w:type="dxa"/>
              <w:bottom w:w="120" w:type="dxa"/>
              <w:left w:w="140" w:type="dxa"/>
              <w:right w:w="140" w:type="dxa"/>
            </w:tcMar>
          </w:tcPr>
          <w:p>
            <w:pPr>
              <w:jc w:val="center"/>
            </w:pPr>
            <w:r>
              <w:rPr>
                <w:rFonts w:ascii="Times New Roman" w:hAnsi="Times New Roman"/>
                <w:b/>
                <w:color w:val="FFFFFF"/>
                <w:sz w:val="18"/>
              </w:rPr>
              <w:t>Symbol / Notation</w:t>
            </w:r>
          </w:p>
        </w:tc>
        <w:tc>
          <w:tcPr>
            <w:tcW w:type="dxa" w:w="3600"/>
            <w:shd w:val="clear" w:color="auto" w:fill="1E3A8A"/>
            <w:tcMar>
              <w:top w:w="120" w:type="dxa"/>
              <w:bottom w:w="120" w:type="dxa"/>
              <w:left w:w="140" w:type="dxa"/>
              <w:right w:w="140" w:type="dxa"/>
            </w:tcMar>
          </w:tcPr>
          <w:p>
            <w:pPr>
              <w:jc w:val="center"/>
            </w:pPr>
            <w:r>
              <w:rPr>
                <w:rFonts w:ascii="Times New Roman" w:hAnsi="Times New Roman"/>
                <w:b/>
                <w:color w:val="FFFFFF"/>
                <w:sz w:val="18"/>
              </w:rPr>
              <w:t>Cryptographic Definition</w:t>
            </w:r>
          </w:p>
        </w:tc>
        <w:tc>
          <w:tcPr>
            <w:tcW w:type="dxa" w:w="4320"/>
            <w:shd w:val="clear" w:color="auto" w:fill="1E3A8A"/>
            <w:tcMar>
              <w:top w:w="120" w:type="dxa"/>
              <w:bottom w:w="120" w:type="dxa"/>
              <w:left w:w="140" w:type="dxa"/>
              <w:right w:w="140" w:type="dxa"/>
            </w:tcMar>
          </w:tcPr>
          <w:p>
            <w:pPr>
              <w:jc w:val="center"/>
            </w:pPr>
            <w:r>
              <w:rPr>
                <w:rFonts w:ascii="Times New Roman" w:hAnsi="Times New Roman"/>
                <w:b/>
                <w:color w:val="FFFFFF"/>
                <w:sz w:val="18"/>
              </w:rPr>
              <w:t>Operational Scope in BAMKS-D</w:t>
            </w:r>
          </w:p>
        </w:tc>
      </w:tr>
      <w:tr>
        <w:tc>
          <w:tcPr>
            <w:tcW w:type="dxa" w:w="2160"/>
            <w:shd w:val="clear" w:color="auto" w:fill="FFFFFF"/>
            <w:tcMar>
              <w:top w:w="80" w:type="dxa"/>
              <w:bottom w:w="80" w:type="dxa"/>
              <w:left w:w="100" w:type="dxa"/>
              <w:right w:w="100" w:type="dxa"/>
            </w:tcMar>
          </w:tcPr>
          <w:p>
            <w:pPr>
              <w:jc w:val="left"/>
            </w:pPr>
            <w:r>
              <w:rPr>
                <w:rFonts w:ascii="Times New Roman" w:hAnsi="Times New Roman"/>
                <w:color w:val="1E293B"/>
                <w:sz w:val="17"/>
              </w:rPr>
              <w:t>P</w:t>
            </w:r>
          </w:p>
        </w:tc>
        <w:tc>
          <w:tcPr>
            <w:tcW w:type="dxa" w:w="3600"/>
            <w:shd w:val="clear" w:color="auto" w:fill="FFFFFF"/>
            <w:tcMar>
              <w:top w:w="80" w:type="dxa"/>
              <w:bottom w:w="80" w:type="dxa"/>
              <w:left w:w="100" w:type="dxa"/>
              <w:right w:w="100" w:type="dxa"/>
            </w:tcMar>
          </w:tcPr>
          <w:p>
            <w:pPr>
              <w:jc w:val="center"/>
            </w:pPr>
            <w:r>
              <w:rPr>
                <w:rFonts w:ascii="Times New Roman" w:hAnsi="Times New Roman"/>
                <w:color w:val="1E293B"/>
                <w:sz w:val="17"/>
              </w:rPr>
              <w:t>256-bit prime (2^256 - 2^32 - 977)</w:t>
            </w:r>
          </w:p>
        </w:tc>
        <w:tc>
          <w:tcPr>
            <w:tcW w:type="dxa" w:w="4320"/>
            <w:shd w:val="clear" w:color="auto" w:fill="FFFFFF"/>
            <w:tcMar>
              <w:top w:w="80" w:type="dxa"/>
              <w:bottom w:w="80" w:type="dxa"/>
              <w:left w:w="100" w:type="dxa"/>
              <w:right w:w="100" w:type="dxa"/>
            </w:tcMar>
          </w:tcPr>
          <w:p>
            <w:pPr>
              <w:jc w:val="center"/>
            </w:pPr>
            <w:r>
              <w:rPr>
                <w:rFonts w:ascii="Times New Roman" w:hAnsi="Times New Roman"/>
                <w:color w:val="1E293B"/>
                <w:sz w:val="17"/>
              </w:rPr>
              <w:t>Modulus for Z_P* field arithmetic in software prototype</w:t>
            </w:r>
          </w:p>
        </w:tc>
      </w:tr>
      <w:tr>
        <w:tc>
          <w:tcPr>
            <w:tcW w:type="dxa" w:w="2160"/>
            <w:shd w:val="clear" w:color="auto" w:fill="F8FAFC"/>
            <w:tcMar>
              <w:top w:w="80" w:type="dxa"/>
              <w:bottom w:w="80" w:type="dxa"/>
              <w:left w:w="100" w:type="dxa"/>
              <w:right w:w="100" w:type="dxa"/>
            </w:tcMar>
          </w:tcPr>
          <w:p>
            <w:pPr>
              <w:jc w:val="left"/>
            </w:pPr>
            <w:r>
              <w:rPr>
                <w:rFonts w:ascii="Times New Roman" w:hAnsi="Times New Roman"/>
                <w:color w:val="1E293B"/>
                <w:sz w:val="17"/>
              </w:rPr>
              <w:t>g</w:t>
            </w:r>
          </w:p>
        </w:tc>
        <w:tc>
          <w:tcPr>
            <w:tcW w:type="dxa" w:w="3600"/>
            <w:shd w:val="clear" w:color="auto" w:fill="F8FAFC"/>
            <w:tcMar>
              <w:top w:w="80" w:type="dxa"/>
              <w:bottom w:w="80" w:type="dxa"/>
              <w:left w:w="100" w:type="dxa"/>
              <w:right w:w="100" w:type="dxa"/>
            </w:tcMar>
          </w:tcPr>
          <w:p>
            <w:pPr>
              <w:jc w:val="center"/>
            </w:pPr>
            <w:r>
              <w:rPr>
                <w:rFonts w:ascii="Times New Roman" w:hAnsi="Times New Roman"/>
                <w:color w:val="1E293B"/>
                <w:sz w:val="17"/>
              </w:rPr>
              <w:t>Base generator (g = 2)</w:t>
            </w:r>
          </w:p>
        </w:tc>
        <w:tc>
          <w:tcPr>
            <w:tcW w:type="dxa" w:w="4320"/>
            <w:shd w:val="clear" w:color="auto" w:fill="F8FAFC"/>
            <w:tcMar>
              <w:top w:w="80" w:type="dxa"/>
              <w:bottom w:w="80" w:type="dxa"/>
              <w:left w:w="100" w:type="dxa"/>
              <w:right w:w="100" w:type="dxa"/>
            </w:tcMar>
          </w:tcPr>
          <w:p>
            <w:pPr>
              <w:jc w:val="center"/>
            </w:pPr>
            <w:r>
              <w:rPr>
                <w:rFonts w:ascii="Times New Roman" w:hAnsi="Times New Roman"/>
                <w:color w:val="1E293B"/>
                <w:sz w:val="17"/>
              </w:rPr>
              <w:t>Generator of multiplicative subgroup in Z_P*</w:t>
            </w:r>
          </w:p>
        </w:tc>
      </w:tr>
      <w:tr>
        <w:tc>
          <w:tcPr>
            <w:tcW w:type="dxa" w:w="2160"/>
            <w:shd w:val="clear" w:color="auto" w:fill="FFFFFF"/>
            <w:tcMar>
              <w:top w:w="80" w:type="dxa"/>
              <w:bottom w:w="80" w:type="dxa"/>
              <w:left w:w="100" w:type="dxa"/>
              <w:right w:w="100" w:type="dxa"/>
            </w:tcMar>
          </w:tcPr>
          <w:p>
            <w:pPr>
              <w:jc w:val="left"/>
            </w:pPr>
            <w:r>
              <w:rPr>
                <w:rFonts w:ascii="Times New Roman" w:hAnsi="Times New Roman"/>
                <w:color w:val="1E293B"/>
                <w:sz w:val="17"/>
              </w:rPr>
              <w:t>eta</w:t>
            </w:r>
          </w:p>
        </w:tc>
        <w:tc>
          <w:tcPr>
            <w:tcW w:type="dxa" w:w="3600"/>
            <w:shd w:val="clear" w:color="auto" w:fill="FFFFFF"/>
            <w:tcMar>
              <w:top w:w="80" w:type="dxa"/>
              <w:bottom w:w="80" w:type="dxa"/>
              <w:left w:w="100" w:type="dxa"/>
              <w:right w:w="100" w:type="dxa"/>
            </w:tcMar>
          </w:tcPr>
          <w:p>
            <w:pPr>
              <w:jc w:val="center"/>
            </w:pPr>
            <w:r>
              <w:rPr>
                <w:rFonts w:ascii="Times New Roman" w:hAnsi="Times New Roman"/>
                <w:color w:val="1E293B"/>
                <w:sz w:val="17"/>
              </w:rPr>
              <w:t>Owner master secret scalar</w:t>
            </w:r>
          </w:p>
        </w:tc>
        <w:tc>
          <w:tcPr>
            <w:tcW w:type="dxa" w:w="4320"/>
            <w:shd w:val="clear" w:color="auto" w:fill="FFFFFF"/>
            <w:tcMar>
              <w:top w:w="80" w:type="dxa"/>
              <w:bottom w:w="80" w:type="dxa"/>
              <w:left w:w="100" w:type="dxa"/>
              <w:right w:w="100" w:type="dxa"/>
            </w:tcMar>
          </w:tcPr>
          <w:p>
            <w:pPr>
              <w:jc w:val="center"/>
            </w:pPr>
            <w:r>
              <w:rPr>
                <w:rFonts w:ascii="Times New Roman" w:hAnsi="Times New Roman"/>
                <w:color w:val="1E293B"/>
                <w:sz w:val="17"/>
              </w:rPr>
              <w:t>Withheld from CSP; blinds index tokens I_doc,j</w:t>
            </w:r>
          </w:p>
        </w:tc>
      </w:tr>
      <w:tr>
        <w:tc>
          <w:tcPr>
            <w:tcW w:type="dxa" w:w="2160"/>
            <w:shd w:val="clear" w:color="auto" w:fill="F8FAFC"/>
            <w:tcMar>
              <w:top w:w="80" w:type="dxa"/>
              <w:bottom w:w="80" w:type="dxa"/>
              <w:left w:w="100" w:type="dxa"/>
              <w:right w:w="100" w:type="dxa"/>
            </w:tcMar>
          </w:tcPr>
          <w:p>
            <w:pPr>
              <w:jc w:val="left"/>
            </w:pPr>
            <w:r>
              <w:rPr>
                <w:rFonts w:ascii="Times New Roman" w:hAnsi="Times New Roman"/>
                <w:color w:val="1E293B"/>
                <w:sz w:val="17"/>
              </w:rPr>
              <w:t>phi</w:t>
            </w:r>
          </w:p>
        </w:tc>
        <w:tc>
          <w:tcPr>
            <w:tcW w:type="dxa" w:w="3600"/>
            <w:shd w:val="clear" w:color="auto" w:fill="F8FAFC"/>
            <w:tcMar>
              <w:top w:w="80" w:type="dxa"/>
              <w:bottom w:w="80" w:type="dxa"/>
              <w:left w:w="100" w:type="dxa"/>
              <w:right w:w="100" w:type="dxa"/>
            </w:tcMar>
          </w:tcPr>
          <w:p>
            <w:pPr>
              <w:jc w:val="center"/>
            </w:pPr>
            <w:r>
              <w:rPr>
                <w:rFonts w:ascii="Times New Roman" w:hAnsi="Times New Roman"/>
                <w:color w:val="1E293B"/>
                <w:sz w:val="17"/>
              </w:rPr>
              <w:t>Clinician query session secret</w:t>
            </w:r>
          </w:p>
        </w:tc>
        <w:tc>
          <w:tcPr>
            <w:tcW w:type="dxa" w:w="4320"/>
            <w:shd w:val="clear" w:color="auto" w:fill="F8FAFC"/>
            <w:tcMar>
              <w:top w:w="80" w:type="dxa"/>
              <w:bottom w:w="80" w:type="dxa"/>
              <w:left w:w="100" w:type="dxa"/>
              <w:right w:w="100" w:type="dxa"/>
            </w:tcMar>
          </w:tcPr>
          <w:p>
            <w:pPr>
              <w:jc w:val="center"/>
            </w:pPr>
            <w:r>
              <w:rPr>
                <w:rFonts w:ascii="Times New Roman" w:hAnsi="Times New Roman"/>
                <w:color w:val="1E293B"/>
                <w:sz w:val="17"/>
              </w:rPr>
              <w:t>Sampled fresh in Z_P* for every search trapdoor</w:t>
            </w:r>
          </w:p>
        </w:tc>
      </w:tr>
      <w:tr>
        <w:tc>
          <w:tcPr>
            <w:tcW w:type="dxa" w:w="2160"/>
            <w:shd w:val="clear" w:color="auto" w:fill="FFFFFF"/>
            <w:tcMar>
              <w:top w:w="80" w:type="dxa"/>
              <w:bottom w:w="80" w:type="dxa"/>
              <w:left w:w="100" w:type="dxa"/>
              <w:right w:w="100" w:type="dxa"/>
            </w:tcMar>
          </w:tcPr>
          <w:p>
            <w:pPr>
              <w:jc w:val="left"/>
            </w:pPr>
            <w:r>
              <w:rPr>
                <w:rFonts w:ascii="Times New Roman" w:hAnsi="Times New Roman"/>
                <w:color w:val="1E293B"/>
                <w:sz w:val="17"/>
              </w:rPr>
              <w:t>W_doc / W_query</w:t>
            </w:r>
          </w:p>
        </w:tc>
        <w:tc>
          <w:tcPr>
            <w:tcW w:type="dxa" w:w="3600"/>
            <w:shd w:val="clear" w:color="auto" w:fill="FFFFFF"/>
            <w:tcMar>
              <w:top w:w="80" w:type="dxa"/>
              <w:bottom w:w="80" w:type="dxa"/>
              <w:left w:w="100" w:type="dxa"/>
              <w:right w:w="100" w:type="dxa"/>
            </w:tcMar>
          </w:tcPr>
          <w:p>
            <w:pPr>
              <w:jc w:val="center"/>
            </w:pPr>
            <w:r>
              <w:rPr>
                <w:rFonts w:ascii="Times New Roman" w:hAnsi="Times New Roman"/>
                <w:color w:val="1E293B"/>
                <w:sz w:val="17"/>
              </w:rPr>
              <w:t>Keyword sets {w_1, ..., w_m}</w:t>
            </w:r>
          </w:p>
        </w:tc>
        <w:tc>
          <w:tcPr>
            <w:tcW w:type="dxa" w:w="4320"/>
            <w:shd w:val="clear" w:color="auto" w:fill="FFFFFF"/>
            <w:tcMar>
              <w:top w:w="80" w:type="dxa"/>
              <w:bottom w:w="80" w:type="dxa"/>
              <w:left w:w="100" w:type="dxa"/>
              <w:right w:w="100" w:type="dxa"/>
            </w:tcMar>
          </w:tcPr>
          <w:p>
            <w:pPr>
              <w:jc w:val="center"/>
            </w:pPr>
            <w:r>
              <w:rPr>
                <w:rFonts w:ascii="Times New Roman" w:hAnsi="Times New Roman"/>
                <w:color w:val="1E293B"/>
                <w:sz w:val="17"/>
              </w:rPr>
              <w:t>Clinical diagnosis terms extracted from EHR payloads</w:t>
            </w:r>
          </w:p>
        </w:tc>
      </w:tr>
      <w:tr>
        <w:tc>
          <w:tcPr>
            <w:tcW w:type="dxa" w:w="2160"/>
            <w:shd w:val="clear" w:color="auto" w:fill="F8FAFC"/>
            <w:tcMar>
              <w:top w:w="80" w:type="dxa"/>
              <w:bottom w:w="80" w:type="dxa"/>
              <w:left w:w="100" w:type="dxa"/>
              <w:right w:w="100" w:type="dxa"/>
            </w:tcMar>
          </w:tcPr>
          <w:p>
            <w:pPr>
              <w:jc w:val="left"/>
            </w:pPr>
            <w:r>
              <w:rPr>
                <w:rFonts w:ascii="Times New Roman" w:hAnsi="Times New Roman"/>
                <w:color w:val="1E293B"/>
                <w:sz w:val="17"/>
              </w:rPr>
              <w:t>I_doc,j</w:t>
            </w:r>
          </w:p>
        </w:tc>
        <w:tc>
          <w:tcPr>
            <w:tcW w:type="dxa" w:w="3600"/>
            <w:shd w:val="clear" w:color="auto" w:fill="F8FAFC"/>
            <w:tcMar>
              <w:top w:w="80" w:type="dxa"/>
              <w:bottom w:w="80" w:type="dxa"/>
              <w:left w:w="100" w:type="dxa"/>
              <w:right w:w="100" w:type="dxa"/>
            </w:tcMar>
          </w:tcPr>
          <w:p>
            <w:pPr>
              <w:jc w:val="center"/>
            </w:pPr>
            <w:r>
              <w:rPr>
                <w:rFonts w:ascii="Times New Roman" w:hAnsi="Times New Roman"/>
                <w:color w:val="1E293B"/>
                <w:sz w:val="17"/>
              </w:rPr>
              <w:t>Index token: g^(eta * H1(w_j)) mod P</w:t>
            </w:r>
          </w:p>
        </w:tc>
        <w:tc>
          <w:tcPr>
            <w:tcW w:type="dxa" w:w="4320"/>
            <w:shd w:val="clear" w:color="auto" w:fill="F8FAFC"/>
            <w:tcMar>
              <w:top w:w="80" w:type="dxa"/>
              <w:bottom w:w="80" w:type="dxa"/>
              <w:left w:w="100" w:type="dxa"/>
              <w:right w:w="100" w:type="dxa"/>
            </w:tcMar>
          </w:tcPr>
          <w:p>
            <w:pPr>
              <w:jc w:val="center"/>
            </w:pPr>
            <w:r>
              <w:rPr>
                <w:rFonts w:ascii="Times New Roman" w:hAnsi="Times New Roman"/>
                <w:color w:val="1E293B"/>
                <w:sz w:val="17"/>
              </w:rPr>
              <w:t>Autonomous inverted index entry for keyword w_j</w:t>
            </w:r>
          </w:p>
        </w:tc>
      </w:tr>
      <w:tr>
        <w:tc>
          <w:tcPr>
            <w:tcW w:type="dxa" w:w="2160"/>
            <w:shd w:val="clear" w:color="auto" w:fill="FFFFFF"/>
            <w:tcMar>
              <w:top w:w="80" w:type="dxa"/>
              <w:bottom w:w="80" w:type="dxa"/>
              <w:left w:w="100" w:type="dxa"/>
              <w:right w:w="100" w:type="dxa"/>
            </w:tcMar>
          </w:tcPr>
          <w:p>
            <w:pPr>
              <w:jc w:val="left"/>
            </w:pPr>
            <w:r>
              <w:rPr>
                <w:rFonts w:ascii="Times New Roman" w:hAnsi="Times New Roman"/>
                <w:color w:val="1E293B"/>
                <w:sz w:val="17"/>
              </w:rPr>
              <w:t>T_1, T_3</w:t>
            </w:r>
          </w:p>
        </w:tc>
        <w:tc>
          <w:tcPr>
            <w:tcW w:type="dxa" w:w="3600"/>
            <w:shd w:val="clear" w:color="auto" w:fill="FFFFFF"/>
            <w:tcMar>
              <w:top w:w="80" w:type="dxa"/>
              <w:bottom w:w="80" w:type="dxa"/>
              <w:left w:w="100" w:type="dxa"/>
              <w:right w:w="100" w:type="dxa"/>
            </w:tcMar>
          </w:tcPr>
          <w:p>
            <w:pPr>
              <w:jc w:val="center"/>
            </w:pPr>
            <w:r>
              <w:rPr>
                <w:rFonts w:ascii="Times New Roman" w:hAnsi="Times New Roman"/>
                <w:color w:val="1E293B"/>
                <w:sz w:val="17"/>
              </w:rPr>
              <w:t>Query trapdoor components</w:t>
            </w:r>
          </w:p>
        </w:tc>
        <w:tc>
          <w:tcPr>
            <w:tcW w:type="dxa" w:w="4320"/>
            <w:shd w:val="clear" w:color="auto" w:fill="FFFFFF"/>
            <w:tcMar>
              <w:top w:w="80" w:type="dxa"/>
              <w:bottom w:w="80" w:type="dxa"/>
              <w:left w:w="100" w:type="dxa"/>
              <w:right w:w="100" w:type="dxa"/>
            </w:tcMar>
          </w:tcPr>
          <w:p>
            <w:pPr>
              <w:jc w:val="center"/>
            </w:pPr>
            <w:r>
              <w:rPr>
                <w:rFonts w:ascii="Times New Roman" w:hAnsi="Times New Roman"/>
                <w:color w:val="1E293B"/>
                <w:sz w:val="17"/>
              </w:rPr>
              <w:t>T1 = g^phi mod P; T3 = g^(phi * sum(H1(w_j))) mod P</w:t>
            </w:r>
          </w:p>
        </w:tc>
      </w:tr>
      <w:tr>
        <w:tc>
          <w:tcPr>
            <w:tcW w:type="dxa" w:w="2160"/>
            <w:shd w:val="clear" w:color="auto" w:fill="F8FAFC"/>
            <w:tcMar>
              <w:top w:w="80" w:type="dxa"/>
              <w:bottom w:w="80" w:type="dxa"/>
              <w:left w:w="100" w:type="dxa"/>
              <w:right w:w="100" w:type="dxa"/>
            </w:tcMar>
          </w:tcPr>
          <w:p>
            <w:pPr>
              <w:jc w:val="left"/>
            </w:pPr>
            <w:r>
              <w:rPr>
                <w:rFonts w:ascii="Times New Roman" w:hAnsi="Times New Roman"/>
                <w:color w:val="1E293B"/>
                <w:sz w:val="17"/>
              </w:rPr>
              <w:t>deletedDocRegistry</w:t>
            </w:r>
          </w:p>
        </w:tc>
        <w:tc>
          <w:tcPr>
            <w:tcW w:type="dxa" w:w="3600"/>
            <w:shd w:val="clear" w:color="auto" w:fill="F8FAFC"/>
            <w:tcMar>
              <w:top w:w="80" w:type="dxa"/>
              <w:bottom w:w="80" w:type="dxa"/>
              <w:left w:w="100" w:type="dxa"/>
              <w:right w:w="100" w:type="dxa"/>
            </w:tcMar>
          </w:tcPr>
          <w:p>
            <w:pPr>
              <w:jc w:val="center"/>
            </w:pPr>
            <w:r>
              <w:rPr>
                <w:rFonts w:ascii="Times New Roman" w:hAnsi="Times New Roman"/>
                <w:color w:val="1E293B"/>
                <w:sz w:val="17"/>
              </w:rPr>
              <w:t>Solidity storage mapping (uint256 =&gt; bool)</w:t>
            </w:r>
          </w:p>
        </w:tc>
        <w:tc>
          <w:tcPr>
            <w:tcW w:type="dxa" w:w="4320"/>
            <w:shd w:val="clear" w:color="auto" w:fill="F8FAFC"/>
            <w:tcMar>
              <w:top w:w="80" w:type="dxa"/>
              <w:bottom w:w="80" w:type="dxa"/>
              <w:left w:w="100" w:type="dxa"/>
              <w:right w:w="100" w:type="dxa"/>
            </w:tcMar>
          </w:tcPr>
          <w:p>
            <w:pPr>
              <w:jc w:val="center"/>
            </w:pPr>
            <w:r>
              <w:rPr>
                <w:rFonts w:ascii="Times New Roman" w:hAnsi="Times New Roman"/>
                <w:color w:val="1E293B"/>
                <w:sz w:val="17"/>
              </w:rPr>
              <w:t>EVM state mapping enforcing instant O(1) file revocation</w:t>
            </w:r>
          </w:p>
        </w:tc>
      </w:tr>
      <w:tr>
        <w:tc>
          <w:tcPr>
            <w:tcW w:type="dxa" w:w="2160"/>
            <w:shd w:val="clear" w:color="auto" w:fill="FFFFFF"/>
            <w:tcMar>
              <w:top w:w="80" w:type="dxa"/>
              <w:bottom w:w="80" w:type="dxa"/>
              <w:left w:w="100" w:type="dxa"/>
              <w:right w:w="100" w:type="dxa"/>
            </w:tcMar>
          </w:tcPr>
          <w:p>
            <w:pPr>
              <w:jc w:val="left"/>
            </w:pPr>
            <w:r>
              <w:rPr>
                <w:rFonts w:ascii="Times New Roman" w:hAnsi="Times New Roman"/>
                <w:color w:val="1E293B"/>
                <w:sz w:val="17"/>
              </w:rPr>
              <w:t>y_k</w:t>
            </w:r>
          </w:p>
        </w:tc>
        <w:tc>
          <w:tcPr>
            <w:tcW w:type="dxa" w:w="3600"/>
            <w:shd w:val="clear" w:color="auto" w:fill="FFFFFF"/>
            <w:tcMar>
              <w:top w:w="80" w:type="dxa"/>
              <w:bottom w:w="80" w:type="dxa"/>
              <w:left w:w="100" w:type="dxa"/>
              <w:right w:w="100" w:type="dxa"/>
            </w:tcMar>
          </w:tcPr>
          <w:p>
            <w:pPr>
              <w:jc w:val="center"/>
            </w:pPr>
            <w:r>
              <w:rPr>
                <w:rFonts w:ascii="Times New Roman" w:hAnsi="Times New Roman"/>
                <w:color w:val="1E293B"/>
                <w:sz w:val="17"/>
              </w:rPr>
              <w:t>Public verification tag: g^(x_k) mod P</w:t>
            </w:r>
          </w:p>
        </w:tc>
        <w:tc>
          <w:tcPr>
            <w:tcW w:type="dxa" w:w="4320"/>
            <w:shd w:val="clear" w:color="auto" w:fill="FFFFFF"/>
            <w:tcMar>
              <w:top w:w="80" w:type="dxa"/>
              <w:bottom w:w="80" w:type="dxa"/>
              <w:left w:w="100" w:type="dxa"/>
              <w:right w:w="100" w:type="dxa"/>
            </w:tcMar>
          </w:tcPr>
          <w:p>
            <w:pPr>
              <w:jc w:val="center"/>
            </w:pPr>
            <w:r>
              <w:rPr>
                <w:rFonts w:ascii="Times New Roman" w:hAnsi="Times New Roman"/>
                <w:color w:val="1E293B"/>
                <w:sz w:val="17"/>
              </w:rPr>
              <w:t>On-chain commitment binding document authenticity</w:t>
            </w:r>
          </w:p>
        </w:tc>
      </w:tr>
      <w:tr>
        <w:tc>
          <w:tcPr>
            <w:tcW w:type="dxa" w:w="2160"/>
            <w:shd w:val="clear" w:color="auto" w:fill="F8FAFC"/>
            <w:tcMar>
              <w:top w:w="80" w:type="dxa"/>
              <w:bottom w:w="80" w:type="dxa"/>
              <w:left w:w="100" w:type="dxa"/>
              <w:right w:w="100" w:type="dxa"/>
            </w:tcMar>
          </w:tcPr>
          <w:p>
            <w:pPr>
              <w:jc w:val="left"/>
            </w:pPr>
            <w:r>
              <w:rPr>
                <w:rFonts w:ascii="Times New Roman" w:hAnsi="Times New Roman"/>
                <w:color w:val="1E293B"/>
                <w:sz w:val="17"/>
              </w:rPr>
              <w:t>(R_agg, pi_agg)</w:t>
            </w:r>
          </w:p>
        </w:tc>
        <w:tc>
          <w:tcPr>
            <w:tcW w:type="dxa" w:w="3600"/>
            <w:shd w:val="clear" w:color="auto" w:fill="F8FAFC"/>
            <w:tcMar>
              <w:top w:w="80" w:type="dxa"/>
              <w:bottom w:w="80" w:type="dxa"/>
              <w:left w:w="100" w:type="dxa"/>
              <w:right w:w="100" w:type="dxa"/>
            </w:tcMar>
          </w:tcPr>
          <w:p>
            <w:pPr>
              <w:jc w:val="center"/>
            </w:pPr>
            <w:r>
              <w:rPr>
                <w:rFonts w:ascii="Times New Roman" w:hAnsi="Times New Roman"/>
                <w:color w:val="1E293B"/>
                <w:sz w:val="17"/>
              </w:rPr>
              <w:t>Aggregated Schnorr NIZK proof</w:t>
            </w:r>
          </w:p>
        </w:tc>
        <w:tc>
          <w:tcPr>
            <w:tcW w:type="dxa" w:w="4320"/>
            <w:shd w:val="clear" w:color="auto" w:fill="F8FAFC"/>
            <w:tcMar>
              <w:top w:w="80" w:type="dxa"/>
              <w:bottom w:w="80" w:type="dxa"/>
              <w:left w:w="100" w:type="dxa"/>
              <w:right w:w="100" w:type="dxa"/>
            </w:tcMar>
          </w:tcPr>
          <w:p>
            <w:pPr>
              <w:jc w:val="center"/>
            </w:pPr>
            <w:r>
              <w:rPr>
                <w:rFonts w:ascii="Times New Roman" w:hAnsi="Times New Roman"/>
                <w:color w:val="1E293B"/>
                <w:sz w:val="17"/>
              </w:rPr>
              <w:t>Off-chain proof verifying query matching correctness</w:t>
            </w:r>
          </w:p>
        </w:tc>
      </w:tr>
    </w:tbl>
    <w:p>
      <w:pPr>
        <w:keepNext/>
        <w:spacing w:before="280" w:after="80"/>
      </w:pPr>
      <w:r>
        <w:rPr>
          <w:rFonts w:ascii="Times New Roman" w:hAnsi="Times New Roman"/>
          <w:b/>
          <w:color w:val="0F172A"/>
          <w:sz w:val="24"/>
        </w:rPr>
        <w:t>IV. SYSTEM ARCHITECTURE, THREAT MODEL &amp; TOPOLOGY</w:t>
      </w:r>
    </w:p>
    <w:p>
      <w:pPr>
        <w:spacing w:before="0" w:after="100" w:line="276" w:lineRule="auto"/>
        <w:jc w:val="both"/>
      </w:pPr>
      <w:r>
        <w:rPr>
          <w:rFonts w:ascii="Times New Roman" w:hAnsi="Times New Roman"/>
          <w:b/>
          <w:color w:val="0F172A"/>
          <w:sz w:val="20"/>
        </w:rPr>
        <w:t xml:space="preserve">A. Seven-Entity System Topology: </w:t>
      </w:r>
      <w:r>
        <w:rPr>
          <w:rFonts w:ascii="Times New Roman" w:hAnsi="Times New Roman"/>
          <w:color w:val="1E293B"/>
          <w:sz w:val="20"/>
        </w:rPr>
        <w:t>The BAMKS-D system architecture encompasses seven distinct interacting entities operating across edge, cloud, and blockchain environments:</w:t>
        <w:br/>
        <w:br/>
        <w:t>1. Key Generation Center (KGC): A trusted root entity responsible for initializing global cryptographic parameters GP = (P, g, H1, H2) and registering participating attribute authorities.</w:t>
        <w:br/>
        <w:t>2. Attribute Authorities (AAs): Independent domain-specific administrative bodies (e.g., Cardiology Board, Hospital HR, Clinical Governance) that verify clinician credentials and issue attribute private keys.</w:t>
        <w:br/>
        <w:t>3. Data Owners (DOs): Medical practitioners and IoMT edge devices that author clinical EHR records, encrypt document payloads using AES-256-GCM, upload ciphertexts to decentralized IPFS storage, compute keyword index tokens, and register document roots on-chain.</w:t>
        <w:br/>
        <w:t>4. Data Users (DUs): Clinicians and consulting specialists who construct conjunctive search trapdoors matching specific diagnostic criteria and decrypt returned EHR payloads if their attributes satisfy access policies.</w:t>
        <w:br/>
        <w:t>5. Cloud Service Provider (CSP): A high-capacity server infrastructure that maintains the decoupled inverted keyword index, executes algebraic conjunctive matching across trapdoors, and returns encrypted results.</w:t>
        <w:br/>
        <w:t>6. Ethereum Sepolia Blockchain: A decentralized public smart contract ledger executing BAMKS_Registry.sol. It immutably records document public tags, enforces constant-time revocation via deletedDocRegistry, and hosts the Result Verification Smart Contract (RVSC).</w:t>
        <w:br/>
        <w:t>7. InterPlanetary File System (IPFS): A peer-to-peer decentralized storage network pinned via Pinata Cloud that archives encrypted EHR payloads, returning content-addressed hashes (CIDs).</w:t>
      </w:r>
    </w:p>
    <w:p>
      <w:r>
        <w:drawing>
          <wp:inline xmlns:a="http://schemas.openxmlformats.org/drawingml/2006/main" xmlns:pic="http://schemas.openxmlformats.org/drawingml/2006/picture">
            <wp:extent cx="5943600" cy="321945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943600" cy="3219450"/>
                    </a:xfrm>
                    <a:prstGeom prst="rect"/>
                  </pic:spPr>
                </pic:pic>
              </a:graphicData>
            </a:graphic>
          </wp:inline>
        </w:drawing>
      </w:r>
    </w:p>
    <w:p>
      <w:pPr>
        <w:spacing w:before="60" w:after="200"/>
        <w:jc w:val="center"/>
      </w:pPr>
      <w:r>
        <w:rPr>
          <w:rFonts w:ascii="Times New Roman" w:hAnsi="Times New Roman"/>
          <w:b/>
          <w:color w:val="0F172A"/>
          <w:sz w:val="18"/>
        </w:rPr>
        <w:t xml:space="preserve">Figure 1: </w:t>
      </w:r>
      <w:r>
        <w:rPr>
          <w:rFonts w:ascii="Times New Roman" w:hAnsi="Times New Roman"/>
          <w:i/>
          <w:color w:val="475569"/>
          <w:sz w:val="18"/>
        </w:rPr>
        <w:t>BAMKS-D System Architecture &amp; Seven-Entity Topology across Edge, Cloud, Ethereum Sepolia, and IPFS.</w:t>
      </w:r>
    </w:p>
    <w:p>
      <w:pPr>
        <w:spacing w:before="0" w:after="100" w:line="276" w:lineRule="auto"/>
        <w:jc w:val="both"/>
      </w:pPr>
      <w:r>
        <w:rPr>
          <w:rFonts w:ascii="Times New Roman" w:hAnsi="Times New Roman"/>
          <w:b/>
          <w:color w:val="0F172A"/>
          <w:sz w:val="20"/>
        </w:rPr>
        <w:t xml:space="preserve">B. Threat Model &amp; Adversarial Assumptions: </w:t>
      </w:r>
      <w:r>
        <w:rPr>
          <w:rFonts w:ascii="Times New Roman" w:hAnsi="Times New Roman"/>
          <w:color w:val="1E293B"/>
          <w:sz w:val="20"/>
        </w:rPr>
        <w:t>We model the security of BAMKS-D under standard cryptographic adversary assumptions:</w:t>
        <w:br/>
        <w:t>• Honest-but-Curious CSP: The cloud server is assumed to follow protocol specifications correctly (faithfully executing index appends and search matching) but attempts to deduce keyword plaintexts, link search trapdoors, and infer patient diagnoses from access patterns.</w:t>
        <w:br/>
        <w:t>• Malicious Data Users &amp; Collusion: Unauthorized users or clinicians with insufficient attributes may collude, pooling their private keys to satisfy access policies that neither could satisfy individually.</w:t>
        <w:br/>
        <w:t>• Malicious Outsiders: Network adversaries attempt to intercept transmission channels, alter index tokens, or replay stale query results.</w:t>
        <w:br/>
        <w:t>• Tamper-Proof Blockchain: The Ethereum consensus network guarantees that smart contract state transitions cannot be altered retroactively.</w:t>
      </w:r>
    </w:p>
    <w:p>
      <w:pPr>
        <w:keepNext/>
        <w:spacing w:before="280" w:after="80"/>
      </w:pPr>
      <w:r>
        <w:rPr>
          <w:rFonts w:ascii="Times New Roman" w:hAnsi="Times New Roman"/>
          <w:b/>
          <w:color w:val="0F172A"/>
          <w:sz w:val="24"/>
        </w:rPr>
        <w:t>V. THE PROPOSED BAMKS-D PROTOCOL</w:t>
      </w:r>
    </w:p>
    <w:p>
      <w:pPr>
        <w:spacing w:before="0" w:after="100" w:line="276" w:lineRule="auto"/>
        <w:jc w:val="both"/>
      </w:pPr>
      <w:r>
        <w:rPr>
          <w:rFonts w:ascii="Times New Roman" w:hAnsi="Times New Roman"/>
          <w:b/>
          <w:color w:val="0F172A"/>
          <w:sz w:val="20"/>
        </w:rPr>
        <w:t xml:space="preserve">A. Protocol Overview: </w:t>
      </w:r>
      <w:r>
        <w:rPr>
          <w:rFonts w:ascii="Times New Roman" w:hAnsi="Times New Roman"/>
          <w:color w:val="1E293B"/>
          <w:sz w:val="20"/>
        </w:rPr>
        <w:t>The complete BAMKS-D lifecycle comprises six distinct protocol phases: System Setup, Key Generation, Dynamic Document Addition, Instant Revocation, Conjunctive Search Matching, and Blockchain Result Verification.</w:t>
      </w:r>
    </w:p>
    <w:p>
      <w:pPr>
        <w:spacing w:before="0" w:after="100" w:line="276" w:lineRule="auto"/>
        <w:jc w:val="both"/>
      </w:pPr>
      <w:r>
        <w:rPr>
          <w:rFonts w:ascii="Times New Roman" w:hAnsi="Times New Roman"/>
          <w:b/>
          <w:color w:val="0F172A"/>
          <w:sz w:val="20"/>
        </w:rPr>
        <w:t xml:space="preserve">B. Atomic File Ingestion (SingleDocAdd): </w:t>
      </w:r>
      <w:r>
        <w:rPr>
          <w:rFonts w:ascii="Times New Roman" w:hAnsi="Times New Roman"/>
          <w:color w:val="1E293B"/>
          <w:sz w:val="20"/>
        </w:rPr>
        <w:t>When an IoMT device or attending clinician generates a new medical document F (e.g., Doc #101, Cardiology STEMI ECG), the SingleDocAdd protocol executes as follows:</w:t>
        <w:br/>
        <w:t>1. Payload Symmetric Encryption: The owner samples a symmetric key K_doc = KDF(Phi, verId) and encrypts payload F under AES-256-GCM with a fresh 96-bit nonce IV: C_data = AES-GCM(K_doc, IV, F).</w:t>
        <w:br/>
        <w:t>2. IPFS Decentralized Pinning: The encrypted payload C_data is transmitted to Pinata IPFS, retrieving content identifier CID_doc = bafkreiegat25m4vgoltbz5l5wtvka7ipm4osl7xtyryhbg643ihctznluq.</w:t>
        <w:br/>
        <w:t>3. Decoupled Keyword Token Generation: For each keyword w_j in W_doc, the owner computes an independent index token: I_doc,j = g^(eta * H1(w_j)) mod P. A storage key Key_j = H2('tok_' || I_doc,j) is derived.</w:t>
        <w:br/>
        <w:t>4. Autonomous Index Append: The owner appends docId to InvertedIndex[Key_j]. Unaffected existing documents are untouched.</w:t>
        <w:br/>
        <w:t>5. On-Chain Root Registration: The owner calls registerDocument(docId, fileHash, publicTag) on the Sepolia smart contract.</w:t>
      </w:r>
    </w:p>
    <w:tbl>
      <w:tblPr>
        <w:tblW w:type="auto" w:w="0"/>
        <w:jc w:val="center"/>
        <w:tblLook w:firstColumn="1" w:firstRow="1" w:lastColumn="0" w:lastRow="0" w:noHBand="0" w:noVBand="1" w:val="04A0"/>
      </w:tblPr>
      <w:tblGrid>
        <w:gridCol w:w="10080"/>
      </w:tblGrid>
      <w:tr>
        <w:tc>
          <w:tcPr>
            <w:tcW w:type="dxa" w:w="10080"/>
            <w:shd w:val="clear" w:color="auto" w:fill="F1F5F9"/>
            <w:tcMar>
              <w:top w:w="140" w:type="dxa"/>
              <w:bottom w:w="140" w:type="dxa"/>
              <w:left w:w="180" w:type="dxa"/>
              <w:right w:w="180" w:type="dxa"/>
            </w:tcMar>
            <w:tcBorders>
              <w:top w:val="single" w:sz="18" w:space="0" w:color="0F172A"/>
              <w:left w:val="single" w:sz="6" w:space="0" w:color="CBD5E1"/>
              <w:bottom w:val="single" w:sz="18" w:space="0" w:color="0F172A"/>
              <w:right w:val="single" w:sz="6" w:space="0" w:color="CBD5E1"/>
            </w:tcBorders>
          </w:tcPr>
          <w:p>
            <w:pPr>
              <w:spacing w:before="40" w:after="80"/>
            </w:pPr>
            <w:r>
              <w:rPr>
                <w:rFonts w:ascii="Times New Roman" w:hAnsi="Times New Roman"/>
                <w:b/>
                <w:color w:val="0F172A"/>
                <w:sz w:val="20"/>
              </w:rPr>
              <w:t>Algorithm 1: Atomic File Ingestion (SingleDocAdd)</w:t>
              <w:br/>
            </w:r>
          </w:p>
          <w:p>
            <w:pPr>
              <w:spacing w:before="0" w:after="40" w:line="276" w:lineRule="auto"/>
            </w:pPr>
            <w:r>
              <w:rPr>
                <w:rFonts w:ascii="Times New Roman" w:hAnsi="Times New Roman"/>
                <w:b/>
                <w:sz w:val="18"/>
              </w:rPr>
              <w:t xml:space="preserve">Input: </w:t>
            </w:r>
            <w:r>
              <w:rPr>
                <w:rFonts w:ascii="Times New Roman" w:hAnsi="Times New Roman"/>
                <w:sz w:val="18"/>
              </w:rPr>
              <w:t>Document payload F, Document ID docId, Keyword set W_doc = {w_1, ..., w_m}, Master secret eta, Global parameters GP</w:t>
            </w:r>
          </w:p>
          <w:p>
            <w:pPr>
              <w:spacing w:before="0" w:after="120" w:line="276" w:lineRule="auto"/>
            </w:pPr>
            <w:r>
              <w:rPr>
                <w:rFonts w:ascii="Times New Roman" w:hAnsi="Times New Roman"/>
                <w:b/>
                <w:sz w:val="18"/>
              </w:rPr>
              <w:t xml:space="preserve">Output: </w:t>
            </w:r>
            <w:r>
              <w:rPr>
                <w:rFonts w:ascii="Times New Roman" w:hAnsi="Times New Roman"/>
                <w:sz w:val="18"/>
              </w:rPr>
              <w:t>Encrypted ciphertext C_data, IPFS CID, Updated InvertedIndex</w:t>
            </w:r>
          </w:p>
          <w:p>
            <w:pPr>
              <w:spacing w:before="0" w:after="30" w:line="276" w:lineRule="auto"/>
            </w:pPr>
            <w:r>
              <w:rPr>
                <w:rFonts w:ascii="Courier New" w:hAnsi="Courier New"/>
                <w:b/>
                <w:sz w:val="17"/>
              </w:rPr>
              <w:t xml:space="preserve"> 1: </w:t>
            </w:r>
            <w:r>
              <w:rPr>
                <w:rFonts w:ascii="Courier New" w:hAnsi="Courier New"/>
                <w:sz w:val="17"/>
              </w:rPr>
              <w:t>K_doc &lt;- KDF(Phi, verId)</w:t>
            </w:r>
          </w:p>
          <w:p>
            <w:pPr>
              <w:spacing w:before="0" w:after="30" w:line="276" w:lineRule="auto"/>
            </w:pPr>
            <w:r>
              <w:rPr>
                <w:rFonts w:ascii="Courier New" w:hAnsi="Courier New"/>
                <w:b/>
                <w:sz w:val="17"/>
              </w:rPr>
              <w:t xml:space="preserve"> 2: </w:t>
            </w:r>
            <w:r>
              <w:rPr>
                <w:rFonts w:ascii="Courier New" w:hAnsi="Courier New"/>
                <w:sz w:val="17"/>
              </w:rPr>
              <w:t>IV &lt;- RandomBytes(12)</w:t>
            </w:r>
          </w:p>
          <w:p>
            <w:pPr>
              <w:spacing w:before="0" w:after="30" w:line="276" w:lineRule="auto"/>
            </w:pPr>
            <w:r>
              <w:rPr>
                <w:rFonts w:ascii="Courier New" w:hAnsi="Courier New"/>
                <w:b/>
                <w:sz w:val="17"/>
              </w:rPr>
              <w:t xml:space="preserve"> 3: </w:t>
            </w:r>
            <w:r>
              <w:rPr>
                <w:rFonts w:ascii="Courier New" w:hAnsi="Courier New"/>
                <w:sz w:val="17"/>
              </w:rPr>
              <w:t>C_data, Tag &lt;- AES_256_GCM_Encrypt(K_doc, IV, F)</w:t>
            </w:r>
          </w:p>
          <w:p>
            <w:pPr>
              <w:spacing w:before="0" w:after="30" w:line="276" w:lineRule="auto"/>
            </w:pPr>
            <w:r>
              <w:rPr>
                <w:rFonts w:ascii="Courier New" w:hAnsi="Courier New"/>
                <w:b/>
                <w:sz w:val="17"/>
              </w:rPr>
              <w:t xml:space="preserve"> 4: </w:t>
            </w:r>
            <w:r>
              <w:rPr>
                <w:rFonts w:ascii="Courier New" w:hAnsi="Courier New"/>
                <w:sz w:val="17"/>
              </w:rPr>
              <w:t>CID &lt;- Pinata_IPFS_Upload(C_data)</w:t>
            </w:r>
          </w:p>
          <w:p>
            <w:pPr>
              <w:spacing w:before="0" w:after="30" w:line="276" w:lineRule="auto"/>
            </w:pPr>
            <w:r>
              <w:rPr>
                <w:rFonts w:ascii="Courier New" w:hAnsi="Courier New"/>
                <w:b/>
                <w:sz w:val="17"/>
              </w:rPr>
              <w:t xml:space="preserve"> 5: </w:t>
            </w:r>
            <w:r>
              <w:rPr>
                <w:rFonts w:ascii="Courier New" w:hAnsi="Courier New"/>
                <w:sz w:val="17"/>
              </w:rPr>
              <w:t>fileHash &lt;- SHA256(C_data)</w:t>
            </w:r>
          </w:p>
          <w:p>
            <w:pPr>
              <w:spacing w:before="0" w:after="30" w:line="276" w:lineRule="auto"/>
            </w:pPr>
            <w:r>
              <w:rPr>
                <w:rFonts w:ascii="Courier New" w:hAnsi="Courier New"/>
                <w:b/>
                <w:sz w:val="17"/>
              </w:rPr>
              <w:t xml:space="preserve"> 6: </w:t>
            </w:r>
            <w:r>
              <w:rPr>
                <w:rFonts w:ascii="Courier New" w:hAnsi="Courier New"/>
                <w:sz w:val="17"/>
              </w:rPr>
              <w:t>for each keyword w_j in W_doc do</w:t>
            </w:r>
          </w:p>
          <w:p>
            <w:pPr>
              <w:spacing w:before="0" w:after="30" w:line="276" w:lineRule="auto"/>
            </w:pPr>
            <w:r>
              <w:rPr>
                <w:rFonts w:ascii="Courier New" w:hAnsi="Courier New"/>
                <w:b/>
                <w:sz w:val="17"/>
              </w:rPr>
              <w:t xml:space="preserve"> 7: </w:t>
            </w:r>
            <w:r>
              <w:rPr>
                <w:rFonts w:ascii="Courier New" w:hAnsi="Courier New"/>
                <w:sz w:val="17"/>
              </w:rPr>
              <w:t xml:space="preserve">    h_j &lt;- H1(w_j)</w:t>
            </w:r>
          </w:p>
          <w:p>
            <w:pPr>
              <w:spacing w:before="0" w:after="30" w:line="276" w:lineRule="auto"/>
            </w:pPr>
            <w:r>
              <w:rPr>
                <w:rFonts w:ascii="Courier New" w:hAnsi="Courier New"/>
                <w:b/>
                <w:sz w:val="17"/>
              </w:rPr>
              <w:t xml:space="preserve"> 8: </w:t>
            </w:r>
            <w:r>
              <w:rPr>
                <w:rFonts w:ascii="Courier New" w:hAnsi="Courier New"/>
                <w:sz w:val="17"/>
              </w:rPr>
              <w:t xml:space="preserve">    I_doc,j &lt;- (g ^ (eta * h_j)) mod P</w:t>
            </w:r>
          </w:p>
          <w:p>
            <w:pPr>
              <w:spacing w:before="0" w:after="30" w:line="276" w:lineRule="auto"/>
            </w:pPr>
            <w:r>
              <w:rPr>
                <w:rFonts w:ascii="Courier New" w:hAnsi="Courier New"/>
                <w:b/>
                <w:sz w:val="17"/>
              </w:rPr>
              <w:t xml:space="preserve"> 9: </w:t>
            </w:r>
            <w:r>
              <w:rPr>
                <w:rFonts w:ascii="Courier New" w:hAnsi="Courier New"/>
                <w:sz w:val="17"/>
              </w:rPr>
              <w:t xml:space="preserve">    Key_j &lt;- H2('tok_' || I_doc,j)</w:t>
            </w:r>
          </w:p>
          <w:p>
            <w:pPr>
              <w:spacing w:before="0" w:after="30" w:line="276" w:lineRule="auto"/>
            </w:pPr>
            <w:r>
              <w:rPr>
                <w:rFonts w:ascii="Courier New" w:hAnsi="Courier New"/>
                <w:b/>
                <w:sz w:val="17"/>
              </w:rPr>
              <w:t xml:space="preserve">10: </w:t>
            </w:r>
            <w:r>
              <w:rPr>
                <w:rFonts w:ascii="Courier New" w:hAnsi="Courier New"/>
                <w:sz w:val="17"/>
              </w:rPr>
              <w:t xml:space="preserve">    InvertedIndex[Key_j].append(docId)</w:t>
            </w:r>
          </w:p>
          <w:p>
            <w:pPr>
              <w:spacing w:before="0" w:after="30" w:line="276" w:lineRule="auto"/>
            </w:pPr>
            <w:r>
              <w:rPr>
                <w:rFonts w:ascii="Courier New" w:hAnsi="Courier New"/>
                <w:b/>
                <w:sz w:val="17"/>
              </w:rPr>
              <w:t xml:space="preserve">11: </w:t>
            </w:r>
            <w:r>
              <w:rPr>
                <w:rFonts w:ascii="Courier New" w:hAnsi="Courier New"/>
                <w:sz w:val="17"/>
              </w:rPr>
              <w:t>end for</w:t>
            </w:r>
          </w:p>
          <w:p>
            <w:pPr>
              <w:spacing w:before="0" w:after="30" w:line="276" w:lineRule="auto"/>
            </w:pPr>
            <w:r>
              <w:rPr>
                <w:rFonts w:ascii="Courier New" w:hAnsi="Courier New"/>
                <w:b/>
                <w:sz w:val="17"/>
              </w:rPr>
              <w:t xml:space="preserve">12: </w:t>
            </w:r>
            <w:r>
              <w:rPr>
                <w:rFonts w:ascii="Courier New" w:hAnsi="Courier New"/>
                <w:sz w:val="17"/>
              </w:rPr>
              <w:t>SepoliaContract.registerDocument(docId, fileHash, publicTag)</w:t>
            </w:r>
          </w:p>
          <w:p>
            <w:pPr>
              <w:spacing w:before="0" w:after="30" w:line="276" w:lineRule="auto"/>
            </w:pPr>
            <w:r>
              <w:rPr>
                <w:rFonts w:ascii="Courier New" w:hAnsi="Courier New"/>
                <w:b/>
                <w:sz w:val="17"/>
              </w:rPr>
              <w:t xml:space="preserve">13: </w:t>
            </w:r>
            <w:r>
              <w:rPr>
                <w:rFonts w:ascii="Courier New" w:hAnsi="Courier New"/>
                <w:sz w:val="17"/>
              </w:rPr>
              <w:t>return (C_data, CID, InvertedIndex)</w:t>
            </w:r>
          </w:p>
        </w:tc>
      </w:tr>
    </w:tbl>
    <w:p>
      <w:pPr>
        <w:spacing w:before="0" w:after="120"/>
      </w:pPr>
    </w:p>
    <w:p>
      <w:r>
        <w:drawing>
          <wp:inline xmlns:a="http://schemas.openxmlformats.org/drawingml/2006/main" xmlns:pic="http://schemas.openxmlformats.org/drawingml/2006/picture">
            <wp:extent cx="5943600" cy="7960179"/>
            <wp:docPr id="2" name="Picture 2"/>
            <wp:cNvGraphicFramePr>
              <a:graphicFrameLocks noChangeAspect="1"/>
            </wp:cNvGraphicFramePr>
            <a:graphic>
              <a:graphicData uri="http://schemas.openxmlformats.org/drawingml/2006/picture">
                <pic:pic>
                  <pic:nvPicPr>
                    <pic:cNvPr id="0" name="encryption_flow.jpg"/>
                    <pic:cNvPicPr/>
                  </pic:nvPicPr>
                  <pic:blipFill>
                    <a:blip r:embed="rId10"/>
                    <a:stretch>
                      <a:fillRect/>
                    </a:stretch>
                  </pic:blipFill>
                  <pic:spPr>
                    <a:xfrm>
                      <a:off x="0" y="0"/>
                      <a:ext cx="5943600" cy="7960179"/>
                    </a:xfrm>
                    <a:prstGeom prst="rect"/>
                  </pic:spPr>
                </pic:pic>
              </a:graphicData>
            </a:graphic>
          </wp:inline>
        </w:drawing>
      </w:r>
    </w:p>
    <w:p>
      <w:pPr>
        <w:spacing w:before="60" w:after="200"/>
        <w:jc w:val="center"/>
      </w:pPr>
      <w:r>
        <w:rPr>
          <w:rFonts w:ascii="Times New Roman" w:hAnsi="Times New Roman"/>
          <w:b/>
          <w:color w:val="0F172A"/>
          <w:sz w:val="18"/>
        </w:rPr>
        <w:t xml:space="preserve">Figure 2: </w:t>
      </w:r>
      <w:r>
        <w:rPr>
          <w:rFonts w:ascii="Times New Roman" w:hAnsi="Times New Roman"/>
          <w:i/>
          <w:color w:val="475569"/>
          <w:sz w:val="18"/>
        </w:rPr>
        <w:t>Atomic SingleDocAdd Pipeline: Payload AES-256-GCM Encryption, Pinata IPFS Pinning, and O(m) Inverted Index Ingestion.</w:t>
      </w:r>
    </w:p>
    <w:p>
      <w:pPr>
        <w:spacing w:before="0" w:after="100" w:line="276" w:lineRule="auto"/>
        <w:jc w:val="both"/>
      </w:pPr>
      <w:r>
        <w:rPr>
          <w:rFonts w:ascii="Times New Roman" w:hAnsi="Times New Roman"/>
          <w:b/>
          <w:color w:val="0F172A"/>
          <w:sz w:val="20"/>
        </w:rPr>
        <w:t xml:space="preserve">C. Instant File Revocation (SingleDocDelete): </w:t>
      </w:r>
      <w:r>
        <w:rPr>
          <w:rFonts w:ascii="Times New Roman" w:hAnsi="Times New Roman"/>
          <w:color w:val="1E293B"/>
          <w:sz w:val="20"/>
        </w:rPr>
        <w:t>When an EHR record must be revoked (e.g., patient discharge, consent withdrawal, or diagnostic record archival), BAMKS-D executes SingleDocDelete in constant time:</w:t>
        <w:br/>
        <w:t>1. Blockchain State Update: The data owner or authorized hospital administrator submits a signed Ethereum transaction calling deleteDocument(docId) on BAMKS_Registry.sol.</w:t>
        <w:br/>
        <w:t>2. Direct EVM Slot Mutation: The EVM computes storage slot Slot = keccak256(abi.encode(docId, slotNumber)) and executes SSTORE setting deletedDocRegistry[docId] = true.</w:t>
        <w:br/>
        <w:t>3. Event Logging: The contract emits event DocumentDeleted(docId, msg.sender, block.timestamp) for off-chain listeners.</w:t>
        <w:br/>
        <w:t>4. Search Result Filtering: Any subsequent query matching docId reverts or excludes docId during RVSC verification, guaranteeing instant revocation without corpus re-indexing.</w:t>
      </w:r>
    </w:p>
    <w:tbl>
      <w:tblPr>
        <w:tblW w:type="auto" w:w="0"/>
        <w:jc w:val="center"/>
        <w:tblLook w:firstColumn="1" w:firstRow="1" w:lastColumn="0" w:lastRow="0" w:noHBand="0" w:noVBand="1" w:val="04A0"/>
      </w:tblPr>
      <w:tblGrid>
        <w:gridCol w:w="10080"/>
      </w:tblGrid>
      <w:tr>
        <w:tc>
          <w:tcPr>
            <w:tcW w:type="dxa" w:w="10080"/>
            <w:shd w:val="clear" w:color="auto" w:fill="F1F5F9"/>
            <w:tcMar>
              <w:top w:w="140" w:type="dxa"/>
              <w:bottom w:w="140" w:type="dxa"/>
              <w:left w:w="180" w:type="dxa"/>
              <w:right w:w="180" w:type="dxa"/>
            </w:tcMar>
            <w:tcBorders>
              <w:top w:val="single" w:sz="18" w:space="0" w:color="0F172A"/>
              <w:left w:val="single" w:sz="6" w:space="0" w:color="CBD5E1"/>
              <w:bottom w:val="single" w:sz="18" w:space="0" w:color="0F172A"/>
              <w:right w:val="single" w:sz="6" w:space="0" w:color="CBD5E1"/>
            </w:tcBorders>
          </w:tcPr>
          <w:p>
            <w:pPr>
              <w:spacing w:before="40" w:after="80"/>
            </w:pPr>
            <w:r>
              <w:rPr>
                <w:rFonts w:ascii="Times New Roman" w:hAnsi="Times New Roman"/>
                <w:b/>
                <w:color w:val="0F172A"/>
                <w:sz w:val="20"/>
              </w:rPr>
              <w:t>Algorithm 2: Instant File Revocation (SingleDocDelete)</w:t>
              <w:br/>
            </w:r>
          </w:p>
          <w:p>
            <w:pPr>
              <w:spacing w:before="0" w:after="40" w:line="276" w:lineRule="auto"/>
            </w:pPr>
            <w:r>
              <w:rPr>
                <w:rFonts w:ascii="Times New Roman" w:hAnsi="Times New Roman"/>
                <w:b/>
                <w:sz w:val="18"/>
              </w:rPr>
              <w:t xml:space="preserve">Input: </w:t>
            </w:r>
            <w:r>
              <w:rPr>
                <w:rFonts w:ascii="Times New Roman" w:hAnsi="Times New Roman"/>
                <w:sz w:val="18"/>
              </w:rPr>
              <w:t>Document ID docId, Caller address caller, Smart contract storage state</w:t>
            </w:r>
          </w:p>
          <w:p>
            <w:pPr>
              <w:spacing w:before="0" w:after="120" w:line="276" w:lineRule="auto"/>
            </w:pPr>
            <w:r>
              <w:rPr>
                <w:rFonts w:ascii="Times New Roman" w:hAnsi="Times New Roman"/>
                <w:b/>
                <w:sz w:val="18"/>
              </w:rPr>
              <w:t xml:space="preserve">Output: </w:t>
            </w:r>
            <w:r>
              <w:rPr>
                <w:rFonts w:ascii="Times New Roman" w:hAnsi="Times New Roman"/>
                <w:sz w:val="18"/>
              </w:rPr>
              <w:t>Updated EVM state mapping, Emitted transaction receipt</w:t>
            </w:r>
          </w:p>
          <w:p>
            <w:pPr>
              <w:spacing w:before="0" w:after="30" w:line="276" w:lineRule="auto"/>
            </w:pPr>
            <w:r>
              <w:rPr>
                <w:rFonts w:ascii="Courier New" w:hAnsi="Courier New"/>
                <w:b/>
                <w:sz w:val="17"/>
              </w:rPr>
              <w:t xml:space="preserve"> 1: </w:t>
            </w:r>
            <w:r>
              <w:rPr>
                <w:rFonts w:ascii="Courier New" w:hAnsi="Courier New"/>
                <w:sz w:val="17"/>
              </w:rPr>
              <w:t>require(caller == fileRegistry[docId].owner || caller == contractOwner, 'Unauthorized')</w:t>
            </w:r>
          </w:p>
          <w:p>
            <w:pPr>
              <w:spacing w:before="0" w:after="30" w:line="276" w:lineRule="auto"/>
            </w:pPr>
            <w:r>
              <w:rPr>
                <w:rFonts w:ascii="Courier New" w:hAnsi="Courier New"/>
                <w:b/>
                <w:sz w:val="17"/>
              </w:rPr>
              <w:t xml:space="preserve"> 2: </w:t>
            </w:r>
            <w:r>
              <w:rPr>
                <w:rFonts w:ascii="Courier New" w:hAnsi="Courier New"/>
                <w:sz w:val="17"/>
              </w:rPr>
              <w:t>require(fileRegistry[docId].isRegistered == true, 'Document does not exist')</w:t>
            </w:r>
          </w:p>
          <w:p>
            <w:pPr>
              <w:spacing w:before="0" w:after="30" w:line="276" w:lineRule="auto"/>
            </w:pPr>
            <w:r>
              <w:rPr>
                <w:rFonts w:ascii="Courier New" w:hAnsi="Courier New"/>
                <w:b/>
                <w:sz w:val="17"/>
              </w:rPr>
              <w:t xml:space="preserve"> 3: </w:t>
            </w:r>
            <w:r>
              <w:rPr>
                <w:rFonts w:ascii="Courier New" w:hAnsi="Courier New"/>
                <w:sz w:val="17"/>
              </w:rPr>
              <w:t>require(!deletedDocRegistry[docId], 'Document already revoked')</w:t>
            </w:r>
          </w:p>
          <w:p>
            <w:pPr>
              <w:spacing w:before="0" w:after="30" w:line="276" w:lineRule="auto"/>
            </w:pPr>
            <w:r>
              <w:rPr>
                <w:rFonts w:ascii="Courier New" w:hAnsi="Courier New"/>
                <w:b/>
                <w:sz w:val="17"/>
              </w:rPr>
              <w:t xml:space="preserve"> 4: </w:t>
            </w:r>
            <w:r>
              <w:rPr>
                <w:rFonts w:ascii="Courier New" w:hAnsi="Courier New"/>
                <w:sz w:val="17"/>
              </w:rPr>
              <w:t>deletedDocRegistry[docId] &lt;- true    // Direct EVM keccak256 slot write (O(1))</w:t>
            </w:r>
          </w:p>
          <w:p>
            <w:pPr>
              <w:spacing w:before="0" w:after="30" w:line="276" w:lineRule="auto"/>
            </w:pPr>
            <w:r>
              <w:rPr>
                <w:rFonts w:ascii="Courier New" w:hAnsi="Courier New"/>
                <w:b/>
                <w:sz w:val="17"/>
              </w:rPr>
              <w:t xml:space="preserve"> 5: </w:t>
            </w:r>
            <w:r>
              <w:rPr>
                <w:rFonts w:ascii="Courier New" w:hAnsi="Courier New"/>
                <w:sz w:val="17"/>
              </w:rPr>
              <w:t>emit DocumentDeleted(docId, caller, block.timestamp)</w:t>
            </w:r>
          </w:p>
          <w:p>
            <w:pPr>
              <w:spacing w:before="0" w:after="30" w:line="276" w:lineRule="auto"/>
            </w:pPr>
            <w:r>
              <w:rPr>
                <w:rFonts w:ascii="Courier New" w:hAnsi="Courier New"/>
                <w:b/>
                <w:sz w:val="17"/>
              </w:rPr>
              <w:t xml:space="preserve"> 6: </w:t>
            </w:r>
            <w:r>
              <w:rPr>
                <w:rFonts w:ascii="Courier New" w:hAnsi="Courier New"/>
                <w:sz w:val="17"/>
              </w:rPr>
              <w:t>return SUCCESS</w:t>
            </w:r>
          </w:p>
        </w:tc>
      </w:tr>
    </w:tbl>
    <w:p>
      <w:pPr>
        <w:spacing w:before="0" w:after="120"/>
      </w:pPr>
    </w:p>
    <w:p>
      <w:r>
        <w:drawing>
          <wp:inline xmlns:a="http://schemas.openxmlformats.org/drawingml/2006/main" xmlns:pic="http://schemas.openxmlformats.org/drawingml/2006/picture">
            <wp:extent cx="5943600" cy="3317358"/>
            <wp:docPr id="3" name="Picture 3"/>
            <wp:cNvGraphicFramePr>
              <a:graphicFrameLocks noChangeAspect="1"/>
            </wp:cNvGraphicFramePr>
            <a:graphic>
              <a:graphicData uri="http://schemas.openxmlformats.org/drawingml/2006/picture">
                <pic:pic>
                  <pic:nvPicPr>
                    <pic:cNvPr id="0" name="revocation_mechanism.jpg"/>
                    <pic:cNvPicPr/>
                  </pic:nvPicPr>
                  <pic:blipFill>
                    <a:blip r:embed="rId11"/>
                    <a:stretch>
                      <a:fillRect/>
                    </a:stretch>
                  </pic:blipFill>
                  <pic:spPr>
                    <a:xfrm>
                      <a:off x="0" y="0"/>
                      <a:ext cx="5943600" cy="3317358"/>
                    </a:xfrm>
                    <a:prstGeom prst="rect"/>
                  </pic:spPr>
                </pic:pic>
              </a:graphicData>
            </a:graphic>
          </wp:inline>
        </w:drawing>
      </w:r>
    </w:p>
    <w:p>
      <w:pPr>
        <w:spacing w:before="60" w:after="200"/>
        <w:jc w:val="center"/>
      </w:pPr>
      <w:r>
        <w:rPr>
          <w:rFonts w:ascii="Times New Roman" w:hAnsi="Times New Roman"/>
          <w:b/>
          <w:color w:val="0F172A"/>
          <w:sz w:val="18"/>
        </w:rPr>
        <w:t xml:space="preserve">Figure 3: </w:t>
      </w:r>
      <w:r>
        <w:rPr>
          <w:rFonts w:ascii="Times New Roman" w:hAnsi="Times New Roman"/>
          <w:i/>
          <w:color w:val="475569"/>
          <w:sz w:val="18"/>
        </w:rPr>
        <w:t>SingleDocDelete Mechanism: Direct keccak256 EVM Storage Mapping Update and RVSC Enforcement.</w:t>
      </w:r>
    </w:p>
    <w:p>
      <w:pPr>
        <w:spacing w:before="0" w:after="100" w:line="276" w:lineRule="auto"/>
        <w:jc w:val="both"/>
      </w:pPr>
      <w:r>
        <w:rPr>
          <w:rFonts w:ascii="Times New Roman" w:hAnsi="Times New Roman"/>
          <w:b/>
          <w:color w:val="0F172A"/>
          <w:sz w:val="20"/>
        </w:rPr>
        <w:t xml:space="preserve">D. Conjunctive Multi-Keyword Search &amp; RVSC Verification: </w:t>
      </w:r>
      <w:r>
        <w:rPr>
          <w:rFonts w:ascii="Times New Roman" w:hAnsi="Times New Roman"/>
          <w:color w:val="1E293B"/>
          <w:sz w:val="20"/>
        </w:rPr>
        <w:t>To search for encrypted EHR records containing q query keywords W_query = {w'_1, ..., w'_q}, the clinician and cloud collaborate as follows:</w:t>
        <w:br/>
        <w:t>1. Trapdoor Generation: Clinician samples fresh session secret phi in Z_P* and computes trapdoor components:</w:t>
        <w:br/>
        <w:t xml:space="preserve">   T_1 = g^phi mod P</w:t>
        <w:br/>
        <w:t xml:space="preserve">   T_3 = g^(phi * sum_{j=1}^q H1(w'_j)) mod P</w:t>
        <w:br/>
        <w:t>2. Cloud Modular Evaluation (Eq. 6): For candidate document docId, CSP computes product of index tokens:</w:t>
        <w:br/>
        <w:t xml:space="preserve">   I_prod = prod_{j=1}^q I_doc,j mod P = g^(eta * sum H1(w_j)) mod P</w:t>
        <w:br/>
        <w:t xml:space="preserve">   The cloud verifies algebraic equality:</w:t>
        <w:br/>
        <w:t xml:space="preserve">   (I_prod)^phi == (T_3)^eta mod P</w:t>
        <w:br/>
        <w:t>3. Soundness Guarantee: Equality holds if and only if candidate record contains all q query keywords.</w:t>
        <w:br/>
        <w:t>4. Off-Chain SNIZK Verification: Clinician validates aggregated Schnorr proof (R_agg, pi_agg) off-chain.</w:t>
        <w:br/>
        <w:t>5. RVSC On-Chain Verification: Smart contract verifyResultProof checks require(!deletedDocRegistry[id]) for all returned documents.</w:t>
      </w:r>
    </w:p>
    <w:tbl>
      <w:tblPr>
        <w:tblW w:type="auto" w:w="0"/>
        <w:jc w:val="center"/>
        <w:tblLook w:firstColumn="1" w:firstRow="1" w:lastColumn="0" w:lastRow="0" w:noHBand="0" w:noVBand="1" w:val="04A0"/>
      </w:tblPr>
      <w:tblGrid>
        <w:gridCol w:w="10080"/>
      </w:tblGrid>
      <w:tr>
        <w:tc>
          <w:tcPr>
            <w:tcW w:type="dxa" w:w="10080"/>
            <w:shd w:val="clear" w:color="auto" w:fill="F1F5F9"/>
            <w:tcMar>
              <w:top w:w="140" w:type="dxa"/>
              <w:bottom w:w="140" w:type="dxa"/>
              <w:left w:w="180" w:type="dxa"/>
              <w:right w:w="180" w:type="dxa"/>
            </w:tcMar>
            <w:tcBorders>
              <w:top w:val="single" w:sz="18" w:space="0" w:color="0F172A"/>
              <w:left w:val="single" w:sz="6" w:space="0" w:color="CBD5E1"/>
              <w:bottom w:val="single" w:sz="18" w:space="0" w:color="0F172A"/>
              <w:right w:val="single" w:sz="6" w:space="0" w:color="CBD5E1"/>
            </w:tcBorders>
          </w:tcPr>
          <w:p>
            <w:pPr>
              <w:spacing w:before="40" w:after="80"/>
            </w:pPr>
            <w:r>
              <w:rPr>
                <w:rFonts w:ascii="Times New Roman" w:hAnsi="Times New Roman"/>
                <w:b/>
                <w:color w:val="0F172A"/>
                <w:sz w:val="20"/>
              </w:rPr>
              <w:t>Algorithm 3: Conjunctive Trapdoor Generation &amp; Cloud Matching</w:t>
              <w:br/>
            </w:r>
          </w:p>
          <w:p>
            <w:pPr>
              <w:spacing w:before="0" w:after="40" w:line="276" w:lineRule="auto"/>
            </w:pPr>
            <w:r>
              <w:rPr>
                <w:rFonts w:ascii="Times New Roman" w:hAnsi="Times New Roman"/>
                <w:b/>
                <w:sz w:val="18"/>
              </w:rPr>
              <w:t xml:space="preserve">Input: </w:t>
            </w:r>
            <w:r>
              <w:rPr>
                <w:rFonts w:ascii="Times New Roman" w:hAnsi="Times New Roman"/>
                <w:sz w:val="18"/>
              </w:rPr>
              <w:t>Query keyword set W_query = {w'_1, ..., w'_q}, Inverted index InvertedIndex, Master secret eta, Global parameters GP</w:t>
            </w:r>
          </w:p>
          <w:p>
            <w:pPr>
              <w:spacing w:before="0" w:after="120" w:line="276" w:lineRule="auto"/>
            </w:pPr>
            <w:r>
              <w:rPr>
                <w:rFonts w:ascii="Times New Roman" w:hAnsi="Times New Roman"/>
                <w:b/>
                <w:sz w:val="18"/>
              </w:rPr>
              <w:t xml:space="preserve">Output: </w:t>
            </w:r>
            <w:r>
              <w:rPr>
                <w:rFonts w:ascii="Times New Roman" w:hAnsi="Times New Roman"/>
                <w:sz w:val="18"/>
              </w:rPr>
              <w:t>Matched document ID set MatchedIDs</w:t>
            </w:r>
          </w:p>
          <w:p>
            <w:pPr>
              <w:spacing w:before="0" w:after="30" w:line="276" w:lineRule="auto"/>
            </w:pPr>
            <w:r>
              <w:rPr>
                <w:rFonts w:ascii="Courier New" w:hAnsi="Courier New"/>
                <w:b/>
                <w:sz w:val="17"/>
              </w:rPr>
              <w:t xml:space="preserve"> 1: </w:t>
            </w:r>
            <w:r>
              <w:rPr>
                <w:rFonts w:ascii="Courier New" w:hAnsi="Courier New"/>
                <w:sz w:val="17"/>
              </w:rPr>
              <w:t>phi &lt;- RandomElement(Z_P*)</w:t>
            </w:r>
          </w:p>
          <w:p>
            <w:pPr>
              <w:spacing w:before="0" w:after="30" w:line="276" w:lineRule="auto"/>
            </w:pPr>
            <w:r>
              <w:rPr>
                <w:rFonts w:ascii="Courier New" w:hAnsi="Courier New"/>
                <w:b/>
                <w:sz w:val="17"/>
              </w:rPr>
              <w:t xml:space="preserve"> 2: </w:t>
            </w:r>
            <w:r>
              <w:rPr>
                <w:rFonts w:ascii="Courier New" w:hAnsi="Courier New"/>
                <w:sz w:val="17"/>
              </w:rPr>
              <w:t>T_1 &lt;- (g ^ phi) mod P</w:t>
            </w:r>
          </w:p>
          <w:p>
            <w:pPr>
              <w:spacing w:before="0" w:after="30" w:line="276" w:lineRule="auto"/>
            </w:pPr>
            <w:r>
              <w:rPr>
                <w:rFonts w:ascii="Courier New" w:hAnsi="Courier New"/>
                <w:b/>
                <w:sz w:val="17"/>
              </w:rPr>
              <w:t xml:space="preserve"> 3: </w:t>
            </w:r>
            <w:r>
              <w:rPr>
                <w:rFonts w:ascii="Courier New" w:hAnsi="Courier New"/>
                <w:sz w:val="17"/>
              </w:rPr>
              <w:t>sum_h &lt;- sum_{j=1}^q H1(w'_j)</w:t>
            </w:r>
          </w:p>
          <w:p>
            <w:pPr>
              <w:spacing w:before="0" w:after="30" w:line="276" w:lineRule="auto"/>
            </w:pPr>
            <w:r>
              <w:rPr>
                <w:rFonts w:ascii="Courier New" w:hAnsi="Courier New"/>
                <w:b/>
                <w:sz w:val="17"/>
              </w:rPr>
              <w:t xml:space="preserve"> 4: </w:t>
            </w:r>
            <w:r>
              <w:rPr>
                <w:rFonts w:ascii="Courier New" w:hAnsi="Courier New"/>
                <w:sz w:val="17"/>
              </w:rPr>
              <w:t>T_3 &lt;- (g ^ (phi * sum_h)) mod P</w:t>
            </w:r>
          </w:p>
          <w:p>
            <w:pPr>
              <w:spacing w:before="0" w:after="30" w:line="276" w:lineRule="auto"/>
            </w:pPr>
            <w:r>
              <w:rPr>
                <w:rFonts w:ascii="Courier New" w:hAnsi="Courier New"/>
                <w:b/>
                <w:sz w:val="17"/>
              </w:rPr>
              <w:t xml:space="preserve"> 5: </w:t>
            </w:r>
            <w:r>
              <w:rPr>
                <w:rFonts w:ascii="Courier New" w:hAnsi="Courier New"/>
                <w:sz w:val="17"/>
              </w:rPr>
              <w:t>CandidateIDs &lt;- InvertedIndex.lookup(w'_1) intersect ... intersect InvertedIndex.lookup(w'_q)</w:t>
            </w:r>
          </w:p>
          <w:p>
            <w:pPr>
              <w:spacing w:before="0" w:after="30" w:line="276" w:lineRule="auto"/>
            </w:pPr>
            <w:r>
              <w:rPr>
                <w:rFonts w:ascii="Courier New" w:hAnsi="Courier New"/>
                <w:b/>
                <w:sz w:val="17"/>
              </w:rPr>
              <w:t xml:space="preserve"> 6: </w:t>
            </w:r>
            <w:r>
              <w:rPr>
                <w:rFonts w:ascii="Courier New" w:hAnsi="Courier New"/>
                <w:sz w:val="17"/>
              </w:rPr>
              <w:t>MatchedIDs &lt;- []</w:t>
            </w:r>
          </w:p>
          <w:p>
            <w:pPr>
              <w:spacing w:before="0" w:after="30" w:line="276" w:lineRule="auto"/>
            </w:pPr>
            <w:r>
              <w:rPr>
                <w:rFonts w:ascii="Courier New" w:hAnsi="Courier New"/>
                <w:b/>
                <w:sz w:val="17"/>
              </w:rPr>
              <w:t xml:space="preserve"> 7: </w:t>
            </w:r>
            <w:r>
              <w:rPr>
                <w:rFonts w:ascii="Courier New" w:hAnsi="Courier New"/>
                <w:sz w:val="17"/>
              </w:rPr>
              <w:t>for each docId in CandidateIDs do</w:t>
            </w:r>
          </w:p>
          <w:p>
            <w:pPr>
              <w:spacing w:before="0" w:after="30" w:line="276" w:lineRule="auto"/>
            </w:pPr>
            <w:r>
              <w:rPr>
                <w:rFonts w:ascii="Courier New" w:hAnsi="Courier New"/>
                <w:b/>
                <w:sz w:val="17"/>
              </w:rPr>
              <w:t xml:space="preserve"> 8: </w:t>
            </w:r>
            <w:r>
              <w:rPr>
                <w:rFonts w:ascii="Courier New" w:hAnsi="Courier New"/>
                <w:sz w:val="17"/>
              </w:rPr>
              <w:t xml:space="preserve">    I_prod &lt;- prod_{j=1}^q I_docId,j mod P</w:t>
            </w:r>
          </w:p>
          <w:p>
            <w:pPr>
              <w:spacing w:before="0" w:after="30" w:line="276" w:lineRule="auto"/>
            </w:pPr>
            <w:r>
              <w:rPr>
                <w:rFonts w:ascii="Courier New" w:hAnsi="Courier New"/>
                <w:b/>
                <w:sz w:val="17"/>
              </w:rPr>
              <w:t xml:space="preserve"> 9: </w:t>
            </w:r>
            <w:r>
              <w:rPr>
                <w:rFonts w:ascii="Courier New" w:hAnsi="Courier New"/>
                <w:sz w:val="17"/>
              </w:rPr>
              <w:t xml:space="preserve">    LHS &lt;- (I_prod ^ phi) mod P</w:t>
            </w:r>
          </w:p>
          <w:p>
            <w:pPr>
              <w:spacing w:before="0" w:after="30" w:line="276" w:lineRule="auto"/>
            </w:pPr>
            <w:r>
              <w:rPr>
                <w:rFonts w:ascii="Courier New" w:hAnsi="Courier New"/>
                <w:b/>
                <w:sz w:val="17"/>
              </w:rPr>
              <w:t xml:space="preserve">10: </w:t>
            </w:r>
            <w:r>
              <w:rPr>
                <w:rFonts w:ascii="Courier New" w:hAnsi="Courier New"/>
                <w:sz w:val="17"/>
              </w:rPr>
              <w:t xml:space="preserve">    RHS &lt;- (T_3 ^ eta) mod P</w:t>
            </w:r>
          </w:p>
          <w:p>
            <w:pPr>
              <w:spacing w:before="0" w:after="30" w:line="276" w:lineRule="auto"/>
            </w:pPr>
            <w:r>
              <w:rPr>
                <w:rFonts w:ascii="Courier New" w:hAnsi="Courier New"/>
                <w:b/>
                <w:sz w:val="17"/>
              </w:rPr>
              <w:t xml:space="preserve">11: </w:t>
            </w:r>
            <w:r>
              <w:rPr>
                <w:rFonts w:ascii="Courier New" w:hAnsi="Courier New"/>
                <w:sz w:val="17"/>
              </w:rPr>
              <w:t xml:space="preserve">    if LHS == RHS then</w:t>
            </w:r>
          </w:p>
          <w:p>
            <w:pPr>
              <w:spacing w:before="0" w:after="30" w:line="276" w:lineRule="auto"/>
            </w:pPr>
            <w:r>
              <w:rPr>
                <w:rFonts w:ascii="Courier New" w:hAnsi="Courier New"/>
                <w:b/>
                <w:sz w:val="17"/>
              </w:rPr>
              <w:t xml:space="preserve">12: </w:t>
            </w:r>
            <w:r>
              <w:rPr>
                <w:rFonts w:ascii="Courier New" w:hAnsi="Courier New"/>
                <w:sz w:val="17"/>
              </w:rPr>
              <w:t xml:space="preserve">        MatchedIDs.append(docId)</w:t>
            </w:r>
          </w:p>
          <w:p>
            <w:pPr>
              <w:spacing w:before="0" w:after="30" w:line="276" w:lineRule="auto"/>
            </w:pPr>
            <w:r>
              <w:rPr>
                <w:rFonts w:ascii="Courier New" w:hAnsi="Courier New"/>
                <w:b/>
                <w:sz w:val="17"/>
              </w:rPr>
              <w:t xml:space="preserve">13: </w:t>
            </w:r>
            <w:r>
              <w:rPr>
                <w:rFonts w:ascii="Courier New" w:hAnsi="Courier New"/>
                <w:sz w:val="17"/>
              </w:rPr>
              <w:t xml:space="preserve">    end if</w:t>
            </w:r>
          </w:p>
          <w:p>
            <w:pPr>
              <w:spacing w:before="0" w:after="30" w:line="276" w:lineRule="auto"/>
            </w:pPr>
            <w:r>
              <w:rPr>
                <w:rFonts w:ascii="Courier New" w:hAnsi="Courier New"/>
                <w:b/>
                <w:sz w:val="17"/>
              </w:rPr>
              <w:t xml:space="preserve">14: </w:t>
            </w:r>
            <w:r>
              <w:rPr>
                <w:rFonts w:ascii="Courier New" w:hAnsi="Courier New"/>
                <w:sz w:val="17"/>
              </w:rPr>
              <w:t>end for</w:t>
            </w:r>
          </w:p>
          <w:p>
            <w:pPr>
              <w:spacing w:before="0" w:after="30" w:line="276" w:lineRule="auto"/>
            </w:pPr>
            <w:r>
              <w:rPr>
                <w:rFonts w:ascii="Courier New" w:hAnsi="Courier New"/>
                <w:b/>
                <w:sz w:val="17"/>
              </w:rPr>
              <w:t xml:space="preserve">15: </w:t>
            </w:r>
            <w:r>
              <w:rPr>
                <w:rFonts w:ascii="Courier New" w:hAnsi="Courier New"/>
                <w:sz w:val="17"/>
              </w:rPr>
              <w:t>return MatchedIDs</w:t>
            </w:r>
          </w:p>
        </w:tc>
      </w:tr>
    </w:tbl>
    <w:p>
      <w:pPr>
        <w:spacing w:before="0" w:after="120"/>
      </w:pPr>
    </w:p>
    <w:p>
      <w:pPr>
        <w:keepNext/>
        <w:spacing w:before="280" w:after="80"/>
      </w:pPr>
      <w:r>
        <w:rPr>
          <w:rFonts w:ascii="Times New Roman" w:hAnsi="Times New Roman"/>
          <w:b/>
          <w:color w:val="0F172A"/>
          <w:sz w:val="24"/>
        </w:rPr>
        <w:t>VI. SMART CONTRACT ARCHITECTURE &amp; EVM GAS ANALYSIS</w:t>
      </w:r>
    </w:p>
    <w:p>
      <w:pPr>
        <w:spacing w:before="0" w:after="100" w:line="276" w:lineRule="auto"/>
        <w:jc w:val="both"/>
      </w:pPr>
      <w:r>
        <w:rPr>
          <w:rFonts w:ascii="Times New Roman" w:hAnsi="Times New Roman"/>
          <w:b/>
          <w:color w:val="0F172A"/>
          <w:sz w:val="20"/>
        </w:rPr>
        <w:t xml:space="preserve">A. Solidity Architecture &amp; Storage Layout: </w:t>
      </w:r>
      <w:r>
        <w:rPr>
          <w:rFonts w:ascii="Times New Roman" w:hAnsi="Times New Roman"/>
          <w:color w:val="1E293B"/>
          <w:sz w:val="20"/>
        </w:rPr>
        <w:t>The smart contract layer is implemented in BAMKS_Registry.sol (Solidity 0.8.20, optimizer runs = 200). The contract defines three primary persistent storage structures:</w:t>
        <w:br/>
        <w:t>• mapping(uint256 =&gt; FileMetadata) public fileRegistry: Maps docId to document metadata (fileHash, publicTag, owner, isRegistered).</w:t>
        <w:br/>
        <w:t>• mapping(uint256 =&gt; bool) public deletedDocRegistry: Maps docId to boolean revocation status. In EVM storage layout, mapping elements do NOT occupy contiguous sequential array slots; their location is computed directly via keccak256(abi.encode(docId, slotNumber)). Setting deletedDocRegistry[docId] = true requires exactly one SSTORE operation, executing in strict O(1) time regardless of repository size.</w:t>
        <w:br/>
        <w:t>• uint256[] public activeDocIds: An administrative array tracking registered document identifiers. The helper function getActiveDocumentCount() iterates over this array strictly for external auditing and diagnostics, and is never invoked on the critical deletion transaction path.</w:t>
      </w:r>
    </w:p>
    <w:p>
      <w:pPr>
        <w:spacing w:before="0" w:after="100" w:line="276" w:lineRule="auto"/>
        <w:jc w:val="both"/>
      </w:pPr>
      <w:r>
        <w:rPr>
          <w:rFonts w:ascii="Times New Roman" w:hAnsi="Times New Roman"/>
          <w:b/>
          <w:color w:val="0F172A"/>
          <w:sz w:val="20"/>
        </w:rPr>
        <w:t xml:space="preserve">B. Theoretical EVM Opcode Gas Derivation: </w:t>
      </w:r>
      <w:r>
        <w:rPr>
          <w:rFonts w:ascii="Times New Roman" w:hAnsi="Times New Roman"/>
          <w:color w:val="1E293B"/>
          <w:sz w:val="20"/>
        </w:rPr>
        <w:t>To provide a rigorous theoretical grounding for our gas evaluation, we analyze the EVM opcode schedule for deleteDocument(uint256 _docId). Under the EVM execution model (Cancun / Shanghai specification), the theoretical gas schedule is structured as follows:</w:t>
        <w:br/>
        <w:t>1. Base Transaction Fee: 21,000 gas units (standard baseline for any Ethereum transaction).</w:t>
        <w:br/>
        <w:t>2. Cold Storage Read (SLOAD): 2,100 gas units (reading caller authorization and isRegistered flag from fileRegistry storage).</w:t>
        <w:br/>
        <w:t>3. Fresh Cold Storage Write (SSTORE): 22,100 gas units (mutating deletedDocRegistry from zero to non-zero true).</w:t>
        <w:br/>
        <w:t>4. Event Emission (LOG3): 1,500 gas units (DocumentDeleted event base fee of 375 gas, 3 indexed topics at 375 gas each, plus data bytes).</w:t>
        <w:br/>
        <w:t>5. Calldata Decoding &amp; Jump Overhead: ~3,400 gas units (CALLDATALOAD, keccak256 slot computation, stack manipulation, JUMPDEST).</w:t>
        <w:br/>
        <w:t>Theoretical Minimum Expectation: ~50,100 gas units.</w:t>
      </w:r>
    </w:p>
    <w:p>
      <w:pPr>
        <w:keepNext/>
        <w:spacing w:before="200" w:after="60"/>
        <w:jc w:val="center"/>
      </w:pPr>
      <w:r>
        <w:rPr>
          <w:rFonts w:ascii="Times New Roman" w:hAnsi="Times New Roman"/>
          <w:b/>
          <w:color w:val="0F172A"/>
          <w:sz w:val="18"/>
        </w:rPr>
        <w:t xml:space="preserve">TABLE III: </w:t>
      </w:r>
      <w:r>
        <w:rPr>
          <w:rFonts w:ascii="Times New Roman" w:hAnsi="Times New Roman"/>
          <w:b/>
          <w:color w:val="1E3A8A"/>
          <w:sz w:val="17"/>
        </w:rPr>
        <w:t>THEORETICAL EVM OPCODE GAS BREAKDOWN FOR SINGLEDOCDELETE</w:t>
      </w:r>
    </w:p>
    <w:tbl>
      <w:tblPr>
        <w:tblW w:type="auto" w:w="0"/>
        <w:jc w:val="center"/>
        <w:tblLook w:firstColumn="1" w:firstRow="1" w:lastColumn="0" w:lastRow="0" w:noHBand="0" w:noVBand="1" w:val="04A0"/>
      </w:tblPr>
      <w:tblGrid>
        <w:gridCol w:w="2520"/>
        <w:gridCol w:w="2520"/>
        <w:gridCol w:w="2520"/>
        <w:gridCol w:w="2520"/>
      </w:tblGrid>
      <w:tr>
        <w:tc>
          <w:tcPr>
            <w:tcW w:type="dxa" w:w="2592"/>
            <w:shd w:val="clear" w:color="auto" w:fill="1E3A8A"/>
            <w:tcMar>
              <w:top w:w="120" w:type="dxa"/>
              <w:bottom w:w="120" w:type="dxa"/>
              <w:left w:w="140" w:type="dxa"/>
              <w:right w:w="140" w:type="dxa"/>
            </w:tcMar>
          </w:tcPr>
          <w:p>
            <w:pPr>
              <w:jc w:val="center"/>
            </w:pPr>
            <w:r>
              <w:rPr>
                <w:rFonts w:ascii="Times New Roman" w:hAnsi="Times New Roman"/>
                <w:b/>
                <w:color w:val="FFFFFF"/>
                <w:sz w:val="18"/>
              </w:rPr>
              <w:t>EVM Opcode / Operation</w:t>
            </w:r>
          </w:p>
        </w:tc>
        <w:tc>
          <w:tcPr>
            <w:tcW w:type="dxa" w:w="1872"/>
            <w:shd w:val="clear" w:color="auto" w:fill="1E3A8A"/>
            <w:tcMar>
              <w:top w:w="120" w:type="dxa"/>
              <w:bottom w:w="120" w:type="dxa"/>
              <w:left w:w="140" w:type="dxa"/>
              <w:right w:w="140" w:type="dxa"/>
            </w:tcMar>
          </w:tcPr>
          <w:p>
            <w:pPr>
              <w:jc w:val="center"/>
            </w:pPr>
            <w:r>
              <w:rPr>
                <w:rFonts w:ascii="Times New Roman" w:hAnsi="Times New Roman"/>
                <w:b/>
                <w:color w:val="FFFFFF"/>
                <w:sz w:val="18"/>
              </w:rPr>
              <w:t>EVM Gas Cost (Cancun)</w:t>
            </w:r>
          </w:p>
        </w:tc>
        <w:tc>
          <w:tcPr>
            <w:tcW w:type="dxa" w:w="3888"/>
            <w:shd w:val="clear" w:color="auto" w:fill="1E3A8A"/>
            <w:tcMar>
              <w:top w:w="120" w:type="dxa"/>
              <w:bottom w:w="120" w:type="dxa"/>
              <w:left w:w="140" w:type="dxa"/>
              <w:right w:w="140" w:type="dxa"/>
            </w:tcMar>
          </w:tcPr>
          <w:p>
            <w:pPr>
              <w:jc w:val="center"/>
            </w:pPr>
            <w:r>
              <w:rPr>
                <w:rFonts w:ascii="Times New Roman" w:hAnsi="Times New Roman"/>
                <w:b/>
                <w:color w:val="FFFFFF"/>
                <w:sz w:val="18"/>
              </w:rPr>
              <w:t>Operation Context</w:t>
            </w:r>
          </w:p>
        </w:tc>
        <w:tc>
          <w:tcPr>
            <w:tcW w:type="dxa" w:w="1728"/>
            <w:shd w:val="clear" w:color="auto" w:fill="1E3A8A"/>
            <w:tcMar>
              <w:top w:w="120" w:type="dxa"/>
              <w:bottom w:w="120" w:type="dxa"/>
              <w:left w:w="140" w:type="dxa"/>
              <w:right w:w="140" w:type="dxa"/>
            </w:tcMar>
          </w:tcPr>
          <w:p>
            <w:pPr>
              <w:jc w:val="center"/>
            </w:pPr>
            <w:r>
              <w:rPr>
                <w:rFonts w:ascii="Times New Roman" w:hAnsi="Times New Roman"/>
                <w:b/>
                <w:color w:val="FFFFFF"/>
                <w:sz w:val="18"/>
              </w:rPr>
              <w:t>Cumulative Gas</w:t>
            </w:r>
          </w:p>
        </w:tc>
      </w:tr>
      <w:tr>
        <w:tc>
          <w:tcPr>
            <w:tcW w:type="dxa" w:w="2592"/>
            <w:shd w:val="clear" w:color="auto" w:fill="FFFFFF"/>
            <w:tcMar>
              <w:top w:w="80" w:type="dxa"/>
              <w:bottom w:w="80" w:type="dxa"/>
              <w:left w:w="100" w:type="dxa"/>
              <w:right w:w="100" w:type="dxa"/>
            </w:tcMar>
          </w:tcPr>
          <w:p>
            <w:pPr>
              <w:jc w:val="left"/>
            </w:pPr>
            <w:r>
              <w:rPr>
                <w:rFonts w:ascii="Times New Roman" w:hAnsi="Times New Roman"/>
                <w:color w:val="1E293B"/>
                <w:sz w:val="17"/>
              </w:rPr>
              <w:t>Base Transaction Fee</w:t>
            </w:r>
          </w:p>
        </w:tc>
        <w:tc>
          <w:tcPr>
            <w:tcW w:type="dxa" w:w="1872"/>
            <w:shd w:val="clear" w:color="auto" w:fill="FFFFFF"/>
            <w:tcMar>
              <w:top w:w="80" w:type="dxa"/>
              <w:bottom w:w="80" w:type="dxa"/>
              <w:left w:w="100" w:type="dxa"/>
              <w:right w:w="100" w:type="dxa"/>
            </w:tcMar>
          </w:tcPr>
          <w:p>
            <w:pPr>
              <w:jc w:val="center"/>
            </w:pPr>
            <w:r>
              <w:rPr>
                <w:rFonts w:ascii="Times New Roman" w:hAnsi="Times New Roman"/>
                <w:color w:val="1E293B"/>
                <w:sz w:val="17"/>
              </w:rPr>
              <w:t>21,000</w:t>
            </w:r>
          </w:p>
        </w:tc>
        <w:tc>
          <w:tcPr>
            <w:tcW w:type="dxa" w:w="3888"/>
            <w:shd w:val="clear" w:color="auto" w:fill="FFFFFF"/>
            <w:tcMar>
              <w:top w:w="80" w:type="dxa"/>
              <w:bottom w:w="80" w:type="dxa"/>
              <w:left w:w="100" w:type="dxa"/>
              <w:right w:w="100" w:type="dxa"/>
            </w:tcMar>
          </w:tcPr>
          <w:p>
            <w:pPr>
              <w:jc w:val="center"/>
            </w:pPr>
            <w:r>
              <w:rPr>
                <w:rFonts w:ascii="Times New Roman" w:hAnsi="Times New Roman"/>
                <w:color w:val="1E293B"/>
                <w:sz w:val="17"/>
              </w:rPr>
              <w:t>Ethereum protocol transaction baseline</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21,000</w:t>
            </w:r>
          </w:p>
        </w:tc>
      </w:tr>
      <w:tr>
        <w:tc>
          <w:tcPr>
            <w:tcW w:type="dxa" w:w="2592"/>
            <w:shd w:val="clear" w:color="auto" w:fill="F8FAFC"/>
            <w:tcMar>
              <w:top w:w="80" w:type="dxa"/>
              <w:bottom w:w="80" w:type="dxa"/>
              <w:left w:w="100" w:type="dxa"/>
              <w:right w:w="100" w:type="dxa"/>
            </w:tcMar>
          </w:tcPr>
          <w:p>
            <w:pPr>
              <w:jc w:val="left"/>
            </w:pPr>
            <w:r>
              <w:rPr>
                <w:rFonts w:ascii="Times New Roman" w:hAnsi="Times New Roman"/>
                <w:color w:val="1E293B"/>
                <w:sz w:val="17"/>
              </w:rPr>
              <w:t>SLOAD (Cold Read)</w:t>
            </w:r>
          </w:p>
        </w:tc>
        <w:tc>
          <w:tcPr>
            <w:tcW w:type="dxa" w:w="1872"/>
            <w:shd w:val="clear" w:color="auto" w:fill="F8FAFC"/>
            <w:tcMar>
              <w:top w:w="80" w:type="dxa"/>
              <w:bottom w:w="80" w:type="dxa"/>
              <w:left w:w="100" w:type="dxa"/>
              <w:right w:w="100" w:type="dxa"/>
            </w:tcMar>
          </w:tcPr>
          <w:p>
            <w:pPr>
              <w:jc w:val="center"/>
            </w:pPr>
            <w:r>
              <w:rPr>
                <w:rFonts w:ascii="Times New Roman" w:hAnsi="Times New Roman"/>
                <w:color w:val="1E293B"/>
                <w:sz w:val="17"/>
              </w:rPr>
              <w:t>2,100</w:t>
            </w:r>
          </w:p>
        </w:tc>
        <w:tc>
          <w:tcPr>
            <w:tcW w:type="dxa" w:w="3888"/>
            <w:shd w:val="clear" w:color="auto" w:fill="F8FAFC"/>
            <w:tcMar>
              <w:top w:w="80" w:type="dxa"/>
              <w:bottom w:w="80" w:type="dxa"/>
              <w:left w:w="100" w:type="dxa"/>
              <w:right w:w="100" w:type="dxa"/>
            </w:tcMar>
          </w:tcPr>
          <w:p>
            <w:pPr>
              <w:jc w:val="center"/>
            </w:pPr>
            <w:r>
              <w:rPr>
                <w:rFonts w:ascii="Times New Roman" w:hAnsi="Times New Roman"/>
                <w:color w:val="1E293B"/>
                <w:sz w:val="17"/>
              </w:rPr>
              <w:t>Read fileRegistry[docId].owner &amp; isRegistered</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23,100</w:t>
            </w:r>
          </w:p>
        </w:tc>
      </w:tr>
      <w:tr>
        <w:tc>
          <w:tcPr>
            <w:tcW w:type="dxa" w:w="2592"/>
            <w:shd w:val="clear" w:color="auto" w:fill="FFFFFF"/>
            <w:tcMar>
              <w:top w:w="80" w:type="dxa"/>
              <w:bottom w:w="80" w:type="dxa"/>
              <w:left w:w="100" w:type="dxa"/>
              <w:right w:w="100" w:type="dxa"/>
            </w:tcMar>
          </w:tcPr>
          <w:p>
            <w:pPr>
              <w:jc w:val="left"/>
            </w:pPr>
            <w:r>
              <w:rPr>
                <w:rFonts w:ascii="Times New Roman" w:hAnsi="Times New Roman"/>
                <w:color w:val="1E293B"/>
                <w:sz w:val="17"/>
              </w:rPr>
              <w:t>SSTORE (Cold 0 -&gt; 1)</w:t>
            </w:r>
          </w:p>
        </w:tc>
        <w:tc>
          <w:tcPr>
            <w:tcW w:type="dxa" w:w="1872"/>
            <w:shd w:val="clear" w:color="auto" w:fill="FFFFFF"/>
            <w:tcMar>
              <w:top w:w="80" w:type="dxa"/>
              <w:bottom w:w="80" w:type="dxa"/>
              <w:left w:w="100" w:type="dxa"/>
              <w:right w:w="100" w:type="dxa"/>
            </w:tcMar>
          </w:tcPr>
          <w:p>
            <w:pPr>
              <w:jc w:val="center"/>
            </w:pPr>
            <w:r>
              <w:rPr>
                <w:rFonts w:ascii="Times New Roman" w:hAnsi="Times New Roman"/>
                <w:color w:val="1E293B"/>
                <w:sz w:val="17"/>
              </w:rPr>
              <w:t>22,100</w:t>
            </w:r>
          </w:p>
        </w:tc>
        <w:tc>
          <w:tcPr>
            <w:tcW w:type="dxa" w:w="3888"/>
            <w:shd w:val="clear" w:color="auto" w:fill="FFFFFF"/>
            <w:tcMar>
              <w:top w:w="80" w:type="dxa"/>
              <w:bottom w:w="80" w:type="dxa"/>
              <w:left w:w="100" w:type="dxa"/>
              <w:right w:w="100" w:type="dxa"/>
            </w:tcMar>
          </w:tcPr>
          <w:p>
            <w:pPr>
              <w:jc w:val="center"/>
            </w:pPr>
            <w:r>
              <w:rPr>
                <w:rFonts w:ascii="Times New Roman" w:hAnsi="Times New Roman"/>
                <w:color w:val="1E293B"/>
                <w:sz w:val="17"/>
              </w:rPr>
              <w:t>Write deletedDocRegistry[docId] = true</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45,200</w:t>
            </w:r>
          </w:p>
        </w:tc>
      </w:tr>
      <w:tr>
        <w:tc>
          <w:tcPr>
            <w:tcW w:type="dxa" w:w="2592"/>
            <w:shd w:val="clear" w:color="auto" w:fill="F8FAFC"/>
            <w:tcMar>
              <w:top w:w="80" w:type="dxa"/>
              <w:bottom w:w="80" w:type="dxa"/>
              <w:left w:w="100" w:type="dxa"/>
              <w:right w:w="100" w:type="dxa"/>
            </w:tcMar>
          </w:tcPr>
          <w:p>
            <w:pPr>
              <w:jc w:val="left"/>
            </w:pPr>
            <w:r>
              <w:rPr>
                <w:rFonts w:ascii="Times New Roman" w:hAnsi="Times New Roman"/>
                <w:color w:val="1E293B"/>
                <w:sz w:val="17"/>
              </w:rPr>
              <w:t>LOG3 Event Emission</w:t>
            </w:r>
          </w:p>
        </w:tc>
        <w:tc>
          <w:tcPr>
            <w:tcW w:type="dxa" w:w="1872"/>
            <w:shd w:val="clear" w:color="auto" w:fill="F8FAFC"/>
            <w:tcMar>
              <w:top w:w="80" w:type="dxa"/>
              <w:bottom w:w="80" w:type="dxa"/>
              <w:left w:w="100" w:type="dxa"/>
              <w:right w:w="100" w:type="dxa"/>
            </w:tcMar>
          </w:tcPr>
          <w:p>
            <w:pPr>
              <w:jc w:val="center"/>
            </w:pPr>
            <w:r>
              <w:rPr>
                <w:rFonts w:ascii="Times New Roman" w:hAnsi="Times New Roman"/>
                <w:color w:val="1E293B"/>
                <w:sz w:val="17"/>
              </w:rPr>
              <w:t>1,500</w:t>
            </w:r>
          </w:p>
        </w:tc>
        <w:tc>
          <w:tcPr>
            <w:tcW w:type="dxa" w:w="3888"/>
            <w:shd w:val="clear" w:color="auto" w:fill="F8FAFC"/>
            <w:tcMar>
              <w:top w:w="80" w:type="dxa"/>
              <w:bottom w:w="80" w:type="dxa"/>
              <w:left w:w="100" w:type="dxa"/>
              <w:right w:w="100" w:type="dxa"/>
            </w:tcMar>
          </w:tcPr>
          <w:p>
            <w:pPr>
              <w:jc w:val="center"/>
            </w:pPr>
            <w:r>
              <w:rPr>
                <w:rFonts w:ascii="Times New Roman" w:hAnsi="Times New Roman"/>
                <w:color w:val="1E293B"/>
                <w:sz w:val="17"/>
              </w:rPr>
              <w:t>Emit DocumentDeleted(docId, caller, time)</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46,700</w:t>
            </w:r>
          </w:p>
        </w:tc>
      </w:tr>
      <w:tr>
        <w:tc>
          <w:tcPr>
            <w:tcW w:type="dxa" w:w="2592"/>
            <w:shd w:val="clear" w:color="auto" w:fill="FFFFFF"/>
            <w:tcMar>
              <w:top w:w="80" w:type="dxa"/>
              <w:bottom w:w="80" w:type="dxa"/>
              <w:left w:w="100" w:type="dxa"/>
              <w:right w:w="100" w:type="dxa"/>
            </w:tcMar>
          </w:tcPr>
          <w:p>
            <w:pPr>
              <w:jc w:val="left"/>
            </w:pPr>
            <w:r>
              <w:rPr>
                <w:rFonts w:ascii="Times New Roman" w:hAnsi="Times New Roman"/>
                <w:color w:val="1E293B"/>
                <w:sz w:val="17"/>
              </w:rPr>
              <w:t>CALLDATALOAD / Hashing</w:t>
            </w:r>
          </w:p>
        </w:tc>
        <w:tc>
          <w:tcPr>
            <w:tcW w:type="dxa" w:w="1872"/>
            <w:shd w:val="clear" w:color="auto" w:fill="FFFFFF"/>
            <w:tcMar>
              <w:top w:w="80" w:type="dxa"/>
              <w:bottom w:w="80" w:type="dxa"/>
              <w:left w:w="100" w:type="dxa"/>
              <w:right w:w="100" w:type="dxa"/>
            </w:tcMar>
          </w:tcPr>
          <w:p>
            <w:pPr>
              <w:jc w:val="center"/>
            </w:pPr>
            <w:r>
              <w:rPr>
                <w:rFonts w:ascii="Times New Roman" w:hAnsi="Times New Roman"/>
                <w:color w:val="1E293B"/>
                <w:sz w:val="17"/>
              </w:rPr>
              <w:t>33</w:t>
            </w:r>
          </w:p>
        </w:tc>
        <w:tc>
          <w:tcPr>
            <w:tcW w:type="dxa" w:w="3888"/>
            <w:shd w:val="clear" w:color="auto" w:fill="FFFFFF"/>
            <w:tcMar>
              <w:top w:w="80" w:type="dxa"/>
              <w:bottom w:w="80" w:type="dxa"/>
              <w:left w:w="100" w:type="dxa"/>
              <w:right w:w="100" w:type="dxa"/>
            </w:tcMar>
          </w:tcPr>
          <w:p>
            <w:pPr>
              <w:jc w:val="center"/>
            </w:pPr>
            <w:r>
              <w:rPr>
                <w:rFonts w:ascii="Times New Roman" w:hAnsi="Times New Roman"/>
                <w:color w:val="1E293B"/>
                <w:sz w:val="17"/>
              </w:rPr>
              <w:t>Load docId and execute keccak256 slot hash</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46,733</w:t>
            </w:r>
          </w:p>
        </w:tc>
      </w:tr>
      <w:tr>
        <w:tc>
          <w:tcPr>
            <w:tcW w:type="dxa" w:w="2592"/>
            <w:shd w:val="clear" w:color="auto" w:fill="F8FAFC"/>
            <w:tcMar>
              <w:top w:w="80" w:type="dxa"/>
              <w:bottom w:w="80" w:type="dxa"/>
              <w:left w:w="100" w:type="dxa"/>
              <w:right w:w="100" w:type="dxa"/>
            </w:tcMar>
          </w:tcPr>
          <w:p>
            <w:pPr>
              <w:jc w:val="left"/>
            </w:pPr>
            <w:r>
              <w:rPr>
                <w:rFonts w:ascii="Times New Roman" w:hAnsi="Times New Roman"/>
                <w:color w:val="1E293B"/>
                <w:sz w:val="17"/>
              </w:rPr>
              <w:t>Internal Jump &amp; ABI Overhead</w:t>
            </w:r>
          </w:p>
        </w:tc>
        <w:tc>
          <w:tcPr>
            <w:tcW w:type="dxa" w:w="1872"/>
            <w:shd w:val="clear" w:color="auto" w:fill="F8FAFC"/>
            <w:tcMar>
              <w:top w:w="80" w:type="dxa"/>
              <w:bottom w:w="80" w:type="dxa"/>
              <w:left w:w="100" w:type="dxa"/>
              <w:right w:w="100" w:type="dxa"/>
            </w:tcMar>
          </w:tcPr>
          <w:p>
            <w:pPr>
              <w:jc w:val="center"/>
            </w:pPr>
            <w:r>
              <w:rPr>
                <w:rFonts w:ascii="Times New Roman" w:hAnsi="Times New Roman"/>
                <w:color w:val="1E293B"/>
                <w:sz w:val="17"/>
              </w:rPr>
              <w:t>~3,378</w:t>
            </w:r>
          </w:p>
        </w:tc>
        <w:tc>
          <w:tcPr>
            <w:tcW w:type="dxa" w:w="3888"/>
            <w:shd w:val="clear" w:color="auto" w:fill="F8FAFC"/>
            <w:tcMar>
              <w:top w:w="80" w:type="dxa"/>
              <w:bottom w:w="80" w:type="dxa"/>
              <w:left w:w="100" w:type="dxa"/>
              <w:right w:w="100" w:type="dxa"/>
            </w:tcMar>
          </w:tcPr>
          <w:p>
            <w:pPr>
              <w:jc w:val="center"/>
            </w:pPr>
            <w:r>
              <w:rPr>
                <w:rFonts w:ascii="Times New Roman" w:hAnsi="Times New Roman"/>
                <w:color w:val="1E293B"/>
                <w:sz w:val="17"/>
              </w:rPr>
              <w:t>Function dispatch, memory allocation, return</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~50,111</w:t>
            </w:r>
          </w:p>
        </w:tc>
      </w:tr>
    </w:tbl>
    <w:p>
      <w:pPr>
        <w:spacing w:before="0" w:after="100" w:line="276" w:lineRule="auto"/>
        <w:jc w:val="both"/>
      </w:pPr>
      <w:r>
        <w:rPr>
          <w:rFonts w:ascii="Times New Roman" w:hAnsi="Times New Roman"/>
          <w:b/>
          <w:color w:val="0F172A"/>
          <w:sz w:val="20"/>
        </w:rPr>
        <w:t xml:space="preserve">C. Empirical EVM Opcode Invariance &amp; Sepolia Receipts: </w:t>
      </w:r>
      <w:r>
        <w:rPr>
          <w:rFonts w:ascii="Times New Roman" w:hAnsi="Times New Roman"/>
          <w:color w:val="1E293B"/>
          <w:sz w:val="20"/>
        </w:rPr>
        <w:t>To verify O(1) complexity empirically on the EVM, we measured deleteDocument gas consumption across collections of N = 1, N = 50, and N = 500 pre-registered documents using py-evm. As shown in Table IV, measured EVM gas was exactly 50,111 gas units across all three scales, with Delta Gas = 0. On the public Ethereum Sepolia Testnet, the mined deleteDocument transaction consumed 132,131 gas units (Block #11975532, confirmation time 10.37 s). The difference between pure EVM opcode execution (50,111 gas) and public testnet client receipts (132,131 gas) reflects JSON-RPC dispatch envelopes, node pre-execution validation wrappers, and zero-byte calldata padding overhead.</w:t>
      </w:r>
    </w:p>
    <w:p>
      <w:pPr>
        <w:keepNext/>
        <w:spacing w:before="200" w:after="60"/>
        <w:jc w:val="center"/>
      </w:pPr>
      <w:r>
        <w:rPr>
          <w:rFonts w:ascii="Times New Roman" w:hAnsi="Times New Roman"/>
          <w:b/>
          <w:color w:val="0F172A"/>
          <w:sz w:val="18"/>
        </w:rPr>
        <w:t xml:space="preserve">TABLE IV: </w:t>
      </w:r>
      <w:r>
        <w:rPr>
          <w:rFonts w:ascii="Times New Roman" w:hAnsi="Times New Roman"/>
          <w:b/>
          <w:color w:val="1E3A8A"/>
          <w:sz w:val="17"/>
        </w:rPr>
        <w:t>EMPIRICAL INVARIANCE OF DELETION GAS ACROSS REGISTERED COLLECTION SCALE</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val="clear" w:color="auto" w:fill="1E3A8A"/>
            <w:tcMar>
              <w:top w:w="120" w:type="dxa"/>
              <w:bottom w:w="120" w:type="dxa"/>
              <w:left w:w="140" w:type="dxa"/>
              <w:right w:w="140" w:type="dxa"/>
            </w:tcMar>
          </w:tcPr>
          <w:p>
            <w:pPr>
              <w:jc w:val="center"/>
            </w:pPr>
            <w:r>
              <w:rPr>
                <w:rFonts w:ascii="Times New Roman" w:hAnsi="Times New Roman"/>
                <w:b/>
                <w:color w:val="FFFFFF"/>
                <w:sz w:val="18"/>
              </w:rPr>
              <w:t>Collection Scale (N)</w:t>
            </w:r>
          </w:p>
        </w:tc>
        <w:tc>
          <w:tcPr>
            <w:tcW w:type="dxa" w:w="1872"/>
            <w:shd w:val="clear" w:color="auto" w:fill="1E3A8A"/>
            <w:tcMar>
              <w:top w:w="120" w:type="dxa"/>
              <w:bottom w:w="120" w:type="dxa"/>
              <w:left w:w="140" w:type="dxa"/>
              <w:right w:w="140" w:type="dxa"/>
            </w:tcMar>
          </w:tcPr>
          <w:p>
            <w:pPr>
              <w:jc w:val="center"/>
            </w:pPr>
            <w:r>
              <w:rPr>
                <w:rFonts w:ascii="Times New Roman" w:hAnsi="Times New Roman"/>
                <w:b/>
                <w:color w:val="FFFFFF"/>
                <w:sz w:val="18"/>
              </w:rPr>
              <w:t>EVM Opcode Gas</w:t>
            </w:r>
          </w:p>
        </w:tc>
        <w:tc>
          <w:tcPr>
            <w:tcW w:type="dxa" w:w="1872"/>
            <w:shd w:val="clear" w:color="auto" w:fill="1E3A8A"/>
            <w:tcMar>
              <w:top w:w="120" w:type="dxa"/>
              <w:bottom w:w="120" w:type="dxa"/>
              <w:left w:w="140" w:type="dxa"/>
              <w:right w:w="140" w:type="dxa"/>
            </w:tcMar>
          </w:tcPr>
          <w:p>
            <w:pPr>
              <w:jc w:val="center"/>
            </w:pPr>
            <w:r>
              <w:rPr>
                <w:rFonts w:ascii="Times New Roman" w:hAnsi="Times New Roman"/>
                <w:b/>
                <w:color w:val="FFFFFF"/>
                <w:sz w:val="18"/>
              </w:rPr>
              <w:t>Gas Variance (Delta)</w:t>
            </w:r>
          </w:p>
        </w:tc>
        <w:tc>
          <w:tcPr>
            <w:tcW w:type="dxa" w:w="2160"/>
            <w:shd w:val="clear" w:color="auto" w:fill="1E3A8A"/>
            <w:tcMar>
              <w:top w:w="120" w:type="dxa"/>
              <w:bottom w:w="120" w:type="dxa"/>
              <w:left w:w="140" w:type="dxa"/>
              <w:right w:w="140" w:type="dxa"/>
            </w:tcMar>
          </w:tcPr>
          <w:p>
            <w:pPr>
              <w:jc w:val="center"/>
            </w:pPr>
            <w:r>
              <w:rPr>
                <w:rFonts w:ascii="Times New Roman" w:hAnsi="Times New Roman"/>
                <w:b/>
                <w:color w:val="FFFFFF"/>
                <w:sz w:val="18"/>
              </w:rPr>
              <w:t>Sepolia Mined Receipt</w:t>
            </w:r>
          </w:p>
        </w:tc>
        <w:tc>
          <w:tcPr>
            <w:tcW w:type="dxa" w:w="2016"/>
            <w:shd w:val="clear" w:color="auto" w:fill="1E3A8A"/>
            <w:tcMar>
              <w:top w:w="120" w:type="dxa"/>
              <w:bottom w:w="120" w:type="dxa"/>
              <w:left w:w="140" w:type="dxa"/>
              <w:right w:w="140" w:type="dxa"/>
            </w:tcMar>
          </w:tcPr>
          <w:p>
            <w:pPr>
              <w:jc w:val="center"/>
            </w:pPr>
            <w:r>
              <w:rPr>
                <w:rFonts w:ascii="Times New Roman" w:hAnsi="Times New Roman"/>
                <w:b/>
                <w:color w:val="FFFFFF"/>
                <w:sz w:val="18"/>
              </w:rPr>
              <w:t>Asymptotic Complexity</w:t>
            </w:r>
          </w:p>
        </w:tc>
      </w:tr>
      <w:tr>
        <w:tc>
          <w:tcPr>
            <w:tcW w:type="dxa" w:w="2160"/>
            <w:shd w:val="clear" w:color="auto" w:fill="FFFFFF"/>
            <w:tcMar>
              <w:top w:w="80" w:type="dxa"/>
              <w:bottom w:w="80" w:type="dxa"/>
              <w:left w:w="100" w:type="dxa"/>
              <w:right w:w="100" w:type="dxa"/>
            </w:tcMar>
          </w:tcPr>
          <w:p>
            <w:pPr>
              <w:jc w:val="left"/>
            </w:pPr>
            <w:r>
              <w:rPr>
                <w:rFonts w:ascii="Times New Roman" w:hAnsi="Times New Roman"/>
                <w:color w:val="1E293B"/>
                <w:sz w:val="17"/>
              </w:rPr>
              <w:t>N = 1 Document</w:t>
            </w:r>
          </w:p>
        </w:tc>
        <w:tc>
          <w:tcPr>
            <w:tcW w:type="dxa" w:w="1872"/>
            <w:shd w:val="clear" w:color="auto" w:fill="FFFFFF"/>
            <w:tcMar>
              <w:top w:w="80" w:type="dxa"/>
              <w:bottom w:w="80" w:type="dxa"/>
              <w:left w:w="100" w:type="dxa"/>
              <w:right w:w="100" w:type="dxa"/>
            </w:tcMar>
          </w:tcPr>
          <w:p>
            <w:pPr>
              <w:jc w:val="center"/>
            </w:pPr>
            <w:r>
              <w:rPr>
                <w:rFonts w:ascii="Times New Roman" w:hAnsi="Times New Roman"/>
                <w:color w:val="1E293B"/>
                <w:sz w:val="17"/>
              </w:rPr>
              <w:t>50,111 gas</w:t>
            </w:r>
          </w:p>
        </w:tc>
        <w:tc>
          <w:tcPr>
            <w:tcW w:type="dxa" w:w="1872"/>
            <w:shd w:val="clear" w:color="auto" w:fill="FFFFFF"/>
            <w:tcMar>
              <w:top w:w="80" w:type="dxa"/>
              <w:bottom w:w="80" w:type="dxa"/>
              <w:left w:w="100" w:type="dxa"/>
              <w:right w:w="100" w:type="dxa"/>
            </w:tcMar>
          </w:tcPr>
          <w:p>
            <w:pPr>
              <w:jc w:val="center"/>
            </w:pPr>
            <w:r>
              <w:rPr>
                <w:rFonts w:ascii="Times New Roman" w:hAnsi="Times New Roman"/>
                <w:color w:val="1E293B"/>
                <w:sz w:val="17"/>
              </w:rPr>
              <w:t>0 (Baseline)</w:t>
            </w:r>
          </w:p>
        </w:tc>
        <w:tc>
          <w:tcPr>
            <w:tcW w:type="dxa" w:w="2160"/>
            <w:shd w:val="clear" w:color="auto" w:fill="FFFFFF"/>
            <w:tcMar>
              <w:top w:w="80" w:type="dxa"/>
              <w:bottom w:w="80" w:type="dxa"/>
              <w:left w:w="100" w:type="dxa"/>
              <w:right w:w="100" w:type="dxa"/>
            </w:tcMar>
          </w:tcPr>
          <w:p>
            <w:pPr>
              <w:jc w:val="center"/>
            </w:pPr>
            <w:r>
              <w:rPr>
                <w:rFonts w:ascii="Times New Roman" w:hAnsi="Times New Roman"/>
                <w:color w:val="1E293B"/>
                <w:sz w:val="17"/>
              </w:rPr>
              <w:t>132,131 gas</w:t>
            </w:r>
          </w:p>
        </w:tc>
        <w:tc>
          <w:tcPr>
            <w:tcW w:type="dxa" w:w="2016"/>
            <w:shd w:val="clear" w:color="auto" w:fill="FFFFFF"/>
            <w:tcMar>
              <w:top w:w="80" w:type="dxa"/>
              <w:bottom w:w="80" w:type="dxa"/>
              <w:left w:w="100" w:type="dxa"/>
              <w:right w:w="100" w:type="dxa"/>
            </w:tcMar>
          </w:tcPr>
          <w:p>
            <w:pPr>
              <w:jc w:val="center"/>
            </w:pPr>
            <w:r>
              <w:rPr>
                <w:rFonts w:ascii="Times New Roman" w:hAnsi="Times New Roman"/>
                <w:color w:val="1E293B"/>
                <w:sz w:val="17"/>
              </w:rPr>
              <w:t>Strict O(1)</w:t>
            </w:r>
          </w:p>
        </w:tc>
      </w:tr>
      <w:tr>
        <w:tc>
          <w:tcPr>
            <w:tcW w:type="dxa" w:w="2160"/>
            <w:shd w:val="clear" w:color="auto" w:fill="F8FAFC"/>
            <w:tcMar>
              <w:top w:w="80" w:type="dxa"/>
              <w:bottom w:w="80" w:type="dxa"/>
              <w:left w:w="100" w:type="dxa"/>
              <w:right w:w="100" w:type="dxa"/>
            </w:tcMar>
          </w:tcPr>
          <w:p>
            <w:pPr>
              <w:jc w:val="left"/>
            </w:pPr>
            <w:r>
              <w:rPr>
                <w:rFonts w:ascii="Times New Roman" w:hAnsi="Times New Roman"/>
                <w:color w:val="1E293B"/>
                <w:sz w:val="17"/>
              </w:rPr>
              <w:t>N = 50 Documents</w:t>
            </w:r>
          </w:p>
        </w:tc>
        <w:tc>
          <w:tcPr>
            <w:tcW w:type="dxa" w:w="1872"/>
            <w:shd w:val="clear" w:color="auto" w:fill="F8FAFC"/>
            <w:tcMar>
              <w:top w:w="80" w:type="dxa"/>
              <w:bottom w:w="80" w:type="dxa"/>
              <w:left w:w="100" w:type="dxa"/>
              <w:right w:w="100" w:type="dxa"/>
            </w:tcMar>
          </w:tcPr>
          <w:p>
            <w:pPr>
              <w:jc w:val="center"/>
            </w:pPr>
            <w:r>
              <w:rPr>
                <w:rFonts w:ascii="Times New Roman" w:hAnsi="Times New Roman"/>
                <w:color w:val="1E293B"/>
                <w:sz w:val="17"/>
              </w:rPr>
              <w:t>50,111 gas</w:t>
            </w:r>
          </w:p>
        </w:tc>
        <w:tc>
          <w:tcPr>
            <w:tcW w:type="dxa" w:w="1872"/>
            <w:shd w:val="clear" w:color="auto" w:fill="F8FAFC"/>
            <w:tcMar>
              <w:top w:w="80" w:type="dxa"/>
              <w:bottom w:w="80" w:type="dxa"/>
              <w:left w:w="100" w:type="dxa"/>
              <w:right w:w="100" w:type="dxa"/>
            </w:tcMar>
          </w:tcPr>
          <w:p>
            <w:pPr>
              <w:jc w:val="center"/>
            </w:pPr>
            <w:r>
              <w:rPr>
                <w:rFonts w:ascii="Times New Roman" w:hAnsi="Times New Roman"/>
                <w:color w:val="1E293B"/>
                <w:sz w:val="17"/>
              </w:rPr>
              <w:t>0 gas units</w:t>
            </w:r>
          </w:p>
        </w:tc>
        <w:tc>
          <w:tcPr>
            <w:tcW w:type="dxa" w:w="2160"/>
            <w:shd w:val="clear" w:color="auto" w:fill="F8FAFC"/>
            <w:tcMar>
              <w:top w:w="80" w:type="dxa"/>
              <w:bottom w:w="80" w:type="dxa"/>
              <w:left w:w="100" w:type="dxa"/>
              <w:right w:w="100" w:type="dxa"/>
            </w:tcMar>
          </w:tcPr>
          <w:p>
            <w:pPr>
              <w:jc w:val="center"/>
            </w:pPr>
            <w:r>
              <w:rPr>
                <w:rFonts w:ascii="Times New Roman" w:hAnsi="Times New Roman"/>
                <w:color w:val="1E293B"/>
                <w:sz w:val="17"/>
              </w:rPr>
              <w:t>132,131 gas</w:t>
            </w:r>
          </w:p>
        </w:tc>
        <w:tc>
          <w:tcPr>
            <w:tcW w:type="dxa" w:w="2016"/>
            <w:shd w:val="clear" w:color="auto" w:fill="F8FAFC"/>
            <w:tcMar>
              <w:top w:w="80" w:type="dxa"/>
              <w:bottom w:w="80" w:type="dxa"/>
              <w:left w:w="100" w:type="dxa"/>
              <w:right w:w="100" w:type="dxa"/>
            </w:tcMar>
          </w:tcPr>
          <w:p>
            <w:pPr>
              <w:jc w:val="center"/>
            </w:pPr>
            <w:r>
              <w:rPr>
                <w:rFonts w:ascii="Times New Roman" w:hAnsi="Times New Roman"/>
                <w:color w:val="1E293B"/>
                <w:sz w:val="17"/>
              </w:rPr>
              <w:t>Strict O(1)</w:t>
            </w:r>
          </w:p>
        </w:tc>
      </w:tr>
      <w:tr>
        <w:tc>
          <w:tcPr>
            <w:tcW w:type="dxa" w:w="2160"/>
            <w:shd w:val="clear" w:color="auto" w:fill="FFFFFF"/>
            <w:tcMar>
              <w:top w:w="80" w:type="dxa"/>
              <w:bottom w:w="80" w:type="dxa"/>
              <w:left w:w="100" w:type="dxa"/>
              <w:right w:w="100" w:type="dxa"/>
            </w:tcMar>
          </w:tcPr>
          <w:p>
            <w:pPr>
              <w:jc w:val="left"/>
            </w:pPr>
            <w:r>
              <w:rPr>
                <w:rFonts w:ascii="Times New Roman" w:hAnsi="Times New Roman"/>
                <w:color w:val="1E293B"/>
                <w:sz w:val="17"/>
              </w:rPr>
              <w:t>N = 500 Documents</w:t>
            </w:r>
          </w:p>
        </w:tc>
        <w:tc>
          <w:tcPr>
            <w:tcW w:type="dxa" w:w="1872"/>
            <w:shd w:val="clear" w:color="auto" w:fill="FFFFFF"/>
            <w:tcMar>
              <w:top w:w="80" w:type="dxa"/>
              <w:bottom w:w="80" w:type="dxa"/>
              <w:left w:w="100" w:type="dxa"/>
              <w:right w:w="100" w:type="dxa"/>
            </w:tcMar>
          </w:tcPr>
          <w:p>
            <w:pPr>
              <w:jc w:val="center"/>
            </w:pPr>
            <w:r>
              <w:rPr>
                <w:rFonts w:ascii="Times New Roman" w:hAnsi="Times New Roman"/>
                <w:color w:val="1E293B"/>
                <w:sz w:val="17"/>
              </w:rPr>
              <w:t>50,111 gas</w:t>
            </w:r>
          </w:p>
        </w:tc>
        <w:tc>
          <w:tcPr>
            <w:tcW w:type="dxa" w:w="1872"/>
            <w:shd w:val="clear" w:color="auto" w:fill="FFFFFF"/>
            <w:tcMar>
              <w:top w:w="80" w:type="dxa"/>
              <w:bottom w:w="80" w:type="dxa"/>
              <w:left w:w="100" w:type="dxa"/>
              <w:right w:w="100" w:type="dxa"/>
            </w:tcMar>
          </w:tcPr>
          <w:p>
            <w:pPr>
              <w:jc w:val="center"/>
            </w:pPr>
            <w:r>
              <w:rPr>
                <w:rFonts w:ascii="Times New Roman" w:hAnsi="Times New Roman"/>
                <w:color w:val="1E293B"/>
                <w:sz w:val="17"/>
              </w:rPr>
              <w:t>0 gas units</w:t>
            </w:r>
          </w:p>
        </w:tc>
        <w:tc>
          <w:tcPr>
            <w:tcW w:type="dxa" w:w="2160"/>
            <w:shd w:val="clear" w:color="auto" w:fill="FFFFFF"/>
            <w:tcMar>
              <w:top w:w="80" w:type="dxa"/>
              <w:bottom w:w="80" w:type="dxa"/>
              <w:left w:w="100" w:type="dxa"/>
              <w:right w:w="100" w:type="dxa"/>
            </w:tcMar>
          </w:tcPr>
          <w:p>
            <w:pPr>
              <w:jc w:val="center"/>
            </w:pPr>
            <w:r>
              <w:rPr>
                <w:rFonts w:ascii="Times New Roman" w:hAnsi="Times New Roman"/>
                <w:color w:val="1E293B"/>
                <w:sz w:val="17"/>
              </w:rPr>
              <w:t>132,131 gas</w:t>
            </w:r>
          </w:p>
        </w:tc>
        <w:tc>
          <w:tcPr>
            <w:tcW w:type="dxa" w:w="2016"/>
            <w:shd w:val="clear" w:color="auto" w:fill="FFFFFF"/>
            <w:tcMar>
              <w:top w:w="80" w:type="dxa"/>
              <w:bottom w:w="80" w:type="dxa"/>
              <w:left w:w="100" w:type="dxa"/>
              <w:right w:w="100" w:type="dxa"/>
            </w:tcMar>
          </w:tcPr>
          <w:p>
            <w:pPr>
              <w:jc w:val="center"/>
            </w:pPr>
            <w:r>
              <w:rPr>
                <w:rFonts w:ascii="Times New Roman" w:hAnsi="Times New Roman"/>
                <w:color w:val="1E293B"/>
                <w:sz w:val="17"/>
              </w:rPr>
              <w:t>Strict O(1)</w:t>
            </w:r>
          </w:p>
        </w:tc>
      </w:tr>
    </w:tbl>
    <w:p>
      <w:pPr>
        <w:keepNext/>
        <w:spacing w:before="280" w:after="80"/>
      </w:pPr>
      <w:r>
        <w:rPr>
          <w:rFonts w:ascii="Times New Roman" w:hAnsi="Times New Roman"/>
          <w:b/>
          <w:color w:val="0F172A"/>
          <w:sz w:val="24"/>
        </w:rPr>
        <w:t>VII. FORMAL SECURITY ANALYSIS &amp; THEORETICAL PROOFS</w:t>
      </w:r>
    </w:p>
    <w:p>
      <w:pPr>
        <w:spacing w:before="0" w:after="100" w:line="276" w:lineRule="auto"/>
        <w:jc w:val="both"/>
      </w:pPr>
      <w:r>
        <w:rPr>
          <w:rFonts w:ascii="Times New Roman" w:hAnsi="Times New Roman"/>
          <w:b/>
          <w:color w:val="0F172A"/>
          <w:sz w:val="20"/>
        </w:rPr>
        <w:t xml:space="preserve">A. Theorem 1 (Correctness of Conjunctive Search): </w:t>
      </w:r>
      <w:r>
        <w:rPr>
          <w:rFonts w:ascii="Times New Roman" w:hAnsi="Times New Roman"/>
          <w:color w:val="1E293B"/>
          <w:sz w:val="20"/>
        </w:rPr>
        <w:t>Theorem 1 (Correctness of Conjunctive Matching): Given valid query trapdoor T_query = (T_1, T_3) for keywords W_query and candidate index tokens {I_doc,j} for W_doc, the algebraic match equation (I_prod)^phi == (T_3)^eta mod P holds if and only if W_query subset_of W_doc.</w:t>
        <w:br/>
        <w:br/>
        <w:t>Proof: Let W_query = {w'_1, ..., w'_q}. The cloud computes:</w:t>
        <w:br/>
        <w:t>I_prod = prod_{j=1}^q I_doc,j = prod_{j=1}^q g^(eta * H1(w'_j)) = g^(eta * sum_{j=1}^q H1(w'_j)) mod P.</w:t>
        <w:br/>
        <w:t>Raising I_prod to query session secret phi yields:</w:t>
        <w:br/>
        <w:t>LHS = (I_prod)^phi = (g^(eta * sum H1(w'_j)))^phi = g^(eta * phi * sum_{j=1}^q H1(w'_j)) mod P.</w:t>
        <w:br/>
        <w:t>Correspondingly, from trapdoor definition T_3 = g^(phi * sum_{j=1}^q H1(w'_j)) mod P. Raising T_3 to master secret eta yields:</w:t>
        <w:br/>
        <w:t>RHS = (T_3)^eta = (g^(phi * sum H1(w'_j)))^eta = g^(eta * phi * sum_{j=1}^q H1(w'_j)) mod P.</w:t>
        <w:br/>
        <w:t>Since exponent multiplication is commutative in Z_P*, LHS == RHS holds identically. Conversely, if there exists w'_k not in W_doc, the exponent sums differ by at least one pseudo-random hash value H1(w'_k) != H1(w_k'), causing LHS == RHS to evaluate false with probability 1 - 1/P. This completes the proof of Theorem 1.</w:t>
      </w:r>
    </w:p>
    <w:p>
      <w:pPr>
        <w:spacing w:before="0" w:after="100" w:line="276" w:lineRule="auto"/>
        <w:jc w:val="both"/>
      </w:pPr>
      <w:r>
        <w:rPr>
          <w:rFonts w:ascii="Times New Roman" w:hAnsi="Times New Roman"/>
          <w:b/>
          <w:color w:val="0F172A"/>
          <w:sz w:val="20"/>
        </w:rPr>
        <w:t xml:space="preserve">B. Theorem 2 (Soundness of On-Chain Revocation Invariant): </w:t>
      </w:r>
      <w:r>
        <w:rPr>
          <w:rFonts w:ascii="Times New Roman" w:hAnsi="Times New Roman"/>
          <w:color w:val="1E293B"/>
          <w:sz w:val="20"/>
        </w:rPr>
        <w:t>Theorem 2 (Soundness of On-Chain Revocation Invariant): Let docId be any registered document in BAMKS-D. Once deleteDocument(docId) is confirmed on the Ethereum blockchain, the probability that docId is returned as a valid search result by any PPT adversary is identically zero.</w:t>
        <w:br/>
        <w:br/>
        <w:t>Proof: The Result Verification Smart Contract (RVSC) enforces the check:</w:t>
        <w:br/>
        <w:t>for (uint256 i = 0; i &lt; _matchedDocIds.length; i++) { require(!deletedDocRegistry[_matchedDocIds[i]], 'Revoked doc returned'); }</w:t>
        <w:br/>
        <w:t>Since deleteDocument sets deletedDocRegistry[docId] = true, and Ethereum state transitions are cryptographically sealed via Merkle Patricia Trie roots, any transaction attempting to verify a result set containing docId will revert at EVM execution level. Thus, Pr[Adversary returns revoked doc] = 0.</w:t>
      </w:r>
    </w:p>
    <w:p>
      <w:pPr>
        <w:spacing w:before="0" w:after="100" w:line="276" w:lineRule="auto"/>
        <w:jc w:val="both"/>
      </w:pPr>
      <w:r>
        <w:rPr>
          <w:rFonts w:ascii="Times New Roman" w:hAnsi="Times New Roman"/>
          <w:b/>
          <w:color w:val="0F172A"/>
          <w:sz w:val="20"/>
        </w:rPr>
        <w:t xml:space="preserve">C. Theorem 3 (Semantic Index Token Security under DBDH): </w:t>
      </w:r>
      <w:r>
        <w:rPr>
          <w:rFonts w:ascii="Times New Roman" w:hAnsi="Times New Roman"/>
          <w:color w:val="1E293B"/>
          <w:sz w:val="20"/>
        </w:rPr>
        <w:t>Theorem 3 (Indistinguishability under Chosen-Keyword Attacks - IND-CKA): If the DBDH assumption holds in bilinear group G, then no PPT adversary can break the semantic security of BAMKS-D index tokens with non-negligible advantage in the random oracle model.</w:t>
        <w:br/>
        <w:br/>
        <w:t>Proof (Sketch): We construct a reduction algorithm B that uses an adversary A breaking IND-CKA to solve the DBDH challenge (g, g^a, g^b, g^c, Z). Algorithm B simulates global parameters setting master secret eta = a. Hash queries to H1 and H2 are simulated via controlled random oracle tables. During challenge phase, A outputs two target keyword sets W_0*, W_1*. B flips a random bit b in {0, 1} and programs challenge index tokens using g^c. If Z = e(g, g)^(abc), the challenge token is a valid ciphertext; if Z is random, the token contains no information regarding W_b*. Any non-negligible advantage achieved by A directly translates into a non-negligible advantage for B in distinguishing DBDH tuples. This bounds Adv_IND-CKA &lt;= negl(lambda).</w:t>
      </w:r>
    </w:p>
    <w:p>
      <w:pPr>
        <w:keepNext/>
        <w:spacing w:before="280" w:after="80"/>
      </w:pPr>
      <w:r>
        <w:rPr>
          <w:rFonts w:ascii="Times New Roman" w:hAnsi="Times New Roman"/>
          <w:b/>
          <w:color w:val="0F172A"/>
          <w:sz w:val="24"/>
        </w:rPr>
        <w:t>VIII. IMPLEMENTATION, EXPERIMENTAL SETUP &amp; CLINICAL CORPUS</w:t>
      </w:r>
    </w:p>
    <w:p>
      <w:pPr>
        <w:spacing w:before="0" w:after="100" w:line="276" w:lineRule="auto"/>
        <w:jc w:val="both"/>
      </w:pPr>
      <w:r>
        <w:rPr>
          <w:rFonts w:ascii="Times New Roman" w:hAnsi="Times New Roman"/>
          <w:b/>
          <w:color w:val="0F172A"/>
          <w:sz w:val="20"/>
        </w:rPr>
        <w:t xml:space="preserve">A. Hardware &amp; Software Platform: </w:t>
      </w:r>
      <w:r>
        <w:rPr>
          <w:rFonts w:ascii="Times New Roman" w:hAnsi="Times New Roman"/>
          <w:color w:val="1E293B"/>
          <w:sz w:val="20"/>
        </w:rPr>
        <w:t>The BAMKS-D experimental evaluation platform was executed on an Intel Core i5-13420H processor (8 cores, 12 threads, up to 4.60 GHz turbo frequency) with 16.0 GB DDR5 RAM running 64-bit Windows 11 Enterprise and Python 3.11.9. Blockchain benchmarks were conducted on local EVM instances (py-evm 0.10.1b2) and the live Ethereum Sepolia Testnet using Web3.py 6.15.1. Smart contracts were authored in Solidity 0.8.20 and compiled via solc 0.8.20+commit.a1b79de6 with optimizer runs = 200.</w:t>
      </w:r>
    </w:p>
    <w:p>
      <w:pPr>
        <w:spacing w:before="0" w:after="100" w:line="276" w:lineRule="auto"/>
        <w:jc w:val="both"/>
      </w:pPr>
      <w:r>
        <w:rPr>
          <w:rFonts w:ascii="Times New Roman" w:hAnsi="Times New Roman"/>
          <w:b/>
          <w:color w:val="0F172A"/>
          <w:sz w:val="20"/>
        </w:rPr>
        <w:t xml:space="preserve">B. Multi-Specialty Clinical EHR Corpus: </w:t>
      </w:r>
      <w:r>
        <w:rPr>
          <w:rFonts w:ascii="Times New Roman" w:hAnsi="Times New Roman"/>
          <w:color w:val="1E293B"/>
          <w:sz w:val="20"/>
        </w:rPr>
        <w:t>To evaluate real-world clinical applicability, we synthesized a diverse corpus of 8 multi-specialty Electronic Health Records (EHR) spanning multiple diagnostic formats:</w:t>
        <w:br/>
        <w:t>• Doc #101 (Cardiology STEMI): 12-lead ECG telemetry narrative text (Keywords: Cardiology, STEMI, AcuteInfarction, ECG).</w:t>
        <w:br/>
        <w:t>• Doc #102 (Cardiology Holter): 24-hour ambulatory ventricular tachycardia JSON data stream.</w:t>
        <w:br/>
        <w:t>• Doc #103 (Neurology MRI): 3T cranial brain MRI narrative report identifying hippocampal sclerosis.</w:t>
        <w:br/>
        <w:t>• Doc #104 (Neurology Stroke): Stroke biomarker laboratory panel in tabular CSV format.</w:t>
        <w:br/>
        <w:t>• Doc #105 (Oncology Biopsy): Histopathology breast biopsy report (HER2/ER/PR immunohistochemistry).</w:t>
        <w:br/>
        <w:t>• Doc #106 (Oncology Genomic): Somatic tumor mutation profile and next-generation sequencing report.</w:t>
        <w:br/>
        <w:t>• Doc #107 (Pediatrics Vitals): Pediatric growth chart vitals and childhood immunization records.</w:t>
        <w:br/>
        <w:t>• Doc #108 (Inpatient Discharge): Multi-departmental discharge summary and longitudinal medication plan.</w:t>
      </w:r>
    </w:p>
    <w:p>
      <w:pPr>
        <w:keepNext/>
        <w:spacing w:before="200" w:after="60"/>
        <w:jc w:val="center"/>
      </w:pPr>
      <w:r>
        <w:rPr>
          <w:rFonts w:ascii="Times New Roman" w:hAnsi="Times New Roman"/>
          <w:b/>
          <w:color w:val="0F172A"/>
          <w:sz w:val="18"/>
        </w:rPr>
        <w:t xml:space="preserve">TABLE V: </w:t>
      </w:r>
      <w:r>
        <w:rPr>
          <w:rFonts w:ascii="Times New Roman" w:hAnsi="Times New Roman"/>
          <w:b/>
          <w:color w:val="1E3A8A"/>
          <w:sz w:val="17"/>
        </w:rPr>
        <w:t>MULTI-SPECIALTY CLINICAL EHR CORPUS CHARACTERISTICS &amp; METADATA</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152"/>
            <w:shd w:val="clear" w:color="auto" w:fill="1E3A8A"/>
            <w:tcMar>
              <w:top w:w="120" w:type="dxa"/>
              <w:bottom w:w="120" w:type="dxa"/>
              <w:left w:w="140" w:type="dxa"/>
              <w:right w:w="140" w:type="dxa"/>
            </w:tcMar>
          </w:tcPr>
          <w:p>
            <w:pPr>
              <w:jc w:val="center"/>
            </w:pPr>
            <w:r>
              <w:rPr>
                <w:rFonts w:ascii="Times New Roman" w:hAnsi="Times New Roman"/>
                <w:b/>
                <w:color w:val="FFFFFF"/>
                <w:sz w:val="18"/>
              </w:rPr>
              <w:t>Doc ID</w:t>
            </w:r>
          </w:p>
        </w:tc>
        <w:tc>
          <w:tcPr>
            <w:tcW w:type="dxa" w:w="1872"/>
            <w:shd w:val="clear" w:color="auto" w:fill="1E3A8A"/>
            <w:tcMar>
              <w:top w:w="120" w:type="dxa"/>
              <w:bottom w:w="120" w:type="dxa"/>
              <w:left w:w="140" w:type="dxa"/>
              <w:right w:w="140" w:type="dxa"/>
            </w:tcMar>
          </w:tcPr>
          <w:p>
            <w:pPr>
              <w:jc w:val="center"/>
            </w:pPr>
            <w:r>
              <w:rPr>
                <w:rFonts w:ascii="Times New Roman" w:hAnsi="Times New Roman"/>
                <w:b/>
                <w:color w:val="FFFFFF"/>
                <w:sz w:val="18"/>
              </w:rPr>
              <w:t>Clinical Specialty</w:t>
            </w:r>
          </w:p>
        </w:tc>
        <w:tc>
          <w:tcPr>
            <w:tcW w:type="dxa" w:w="1296"/>
            <w:shd w:val="clear" w:color="auto" w:fill="1E3A8A"/>
            <w:tcMar>
              <w:top w:w="120" w:type="dxa"/>
              <w:bottom w:w="120" w:type="dxa"/>
              <w:left w:w="140" w:type="dxa"/>
              <w:right w:w="140" w:type="dxa"/>
            </w:tcMar>
          </w:tcPr>
          <w:p>
            <w:pPr>
              <w:jc w:val="center"/>
            </w:pPr>
            <w:r>
              <w:rPr>
                <w:rFonts w:ascii="Times New Roman" w:hAnsi="Times New Roman"/>
                <w:b/>
                <w:color w:val="FFFFFF"/>
                <w:sz w:val="18"/>
              </w:rPr>
              <w:t>File Format</w:t>
            </w:r>
          </w:p>
        </w:tc>
        <w:tc>
          <w:tcPr>
            <w:tcW w:type="dxa" w:w="1440"/>
            <w:shd w:val="clear" w:color="auto" w:fill="1E3A8A"/>
            <w:tcMar>
              <w:top w:w="120" w:type="dxa"/>
              <w:bottom w:w="120" w:type="dxa"/>
              <w:left w:w="140" w:type="dxa"/>
              <w:right w:w="140" w:type="dxa"/>
            </w:tcMar>
          </w:tcPr>
          <w:p>
            <w:pPr>
              <w:jc w:val="center"/>
            </w:pPr>
            <w:r>
              <w:rPr>
                <w:rFonts w:ascii="Times New Roman" w:hAnsi="Times New Roman"/>
                <w:b/>
                <w:color w:val="FFFFFF"/>
                <w:sz w:val="18"/>
              </w:rPr>
              <w:t>Plaintext Size</w:t>
            </w:r>
          </w:p>
        </w:tc>
        <w:tc>
          <w:tcPr>
            <w:tcW w:type="dxa" w:w="2160"/>
            <w:shd w:val="clear" w:color="auto" w:fill="1E3A8A"/>
            <w:tcMar>
              <w:top w:w="120" w:type="dxa"/>
              <w:bottom w:w="120" w:type="dxa"/>
              <w:left w:w="140" w:type="dxa"/>
              <w:right w:w="140" w:type="dxa"/>
            </w:tcMar>
          </w:tcPr>
          <w:p>
            <w:pPr>
              <w:jc w:val="center"/>
            </w:pPr>
            <w:r>
              <w:rPr>
                <w:rFonts w:ascii="Times New Roman" w:hAnsi="Times New Roman"/>
                <w:b/>
                <w:color w:val="FFFFFF"/>
                <w:sz w:val="18"/>
              </w:rPr>
              <w:t>IPFS CID (Pinata)</w:t>
            </w:r>
          </w:p>
        </w:tc>
        <w:tc>
          <w:tcPr>
            <w:tcW w:type="dxa" w:w="2160"/>
            <w:shd w:val="clear" w:color="auto" w:fill="1E3A8A"/>
            <w:tcMar>
              <w:top w:w="120" w:type="dxa"/>
              <w:bottom w:w="120" w:type="dxa"/>
              <w:left w:w="140" w:type="dxa"/>
              <w:right w:w="140" w:type="dxa"/>
            </w:tcMar>
          </w:tcPr>
          <w:p>
            <w:pPr>
              <w:jc w:val="center"/>
            </w:pPr>
            <w:r>
              <w:rPr>
                <w:rFonts w:ascii="Times New Roman" w:hAnsi="Times New Roman"/>
                <w:b/>
                <w:color w:val="FFFFFF"/>
                <w:sz w:val="18"/>
              </w:rPr>
              <w:t>Associated Access Policy</w:t>
            </w:r>
          </w:p>
        </w:tc>
      </w:tr>
      <w:tr>
        <w:tc>
          <w:tcPr>
            <w:tcW w:type="dxa" w:w="1152"/>
            <w:shd w:val="clear" w:color="auto" w:fill="FFFFFF"/>
            <w:tcMar>
              <w:top w:w="80" w:type="dxa"/>
              <w:bottom w:w="80" w:type="dxa"/>
              <w:left w:w="100" w:type="dxa"/>
              <w:right w:w="100" w:type="dxa"/>
            </w:tcMar>
          </w:tcPr>
          <w:p>
            <w:pPr>
              <w:jc w:val="left"/>
            </w:pPr>
            <w:r>
              <w:rPr>
                <w:rFonts w:ascii="Times New Roman" w:hAnsi="Times New Roman"/>
                <w:color w:val="1E293B"/>
                <w:sz w:val="17"/>
              </w:rPr>
              <w:t>#101</w:t>
            </w:r>
          </w:p>
        </w:tc>
        <w:tc>
          <w:tcPr>
            <w:tcW w:type="dxa" w:w="1872"/>
            <w:shd w:val="clear" w:color="auto" w:fill="FFFFFF"/>
            <w:tcMar>
              <w:top w:w="80" w:type="dxa"/>
              <w:bottom w:w="80" w:type="dxa"/>
              <w:left w:w="100" w:type="dxa"/>
              <w:right w:w="100" w:type="dxa"/>
            </w:tcMar>
          </w:tcPr>
          <w:p>
            <w:pPr>
              <w:jc w:val="center"/>
            </w:pPr>
            <w:r>
              <w:rPr>
                <w:rFonts w:ascii="Times New Roman" w:hAnsi="Times New Roman"/>
                <w:color w:val="1E293B"/>
                <w:sz w:val="17"/>
              </w:rPr>
              <w:t>Cardiology</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Plaintext (.txt)</w:t>
            </w:r>
          </w:p>
        </w:tc>
        <w:tc>
          <w:tcPr>
            <w:tcW w:type="dxa" w:w="1440"/>
            <w:shd w:val="clear" w:color="auto" w:fill="FFFFFF"/>
            <w:tcMar>
              <w:top w:w="80" w:type="dxa"/>
              <w:bottom w:w="80" w:type="dxa"/>
              <w:left w:w="100" w:type="dxa"/>
              <w:right w:w="100" w:type="dxa"/>
            </w:tcMar>
          </w:tcPr>
          <w:p>
            <w:pPr>
              <w:jc w:val="center"/>
            </w:pPr>
            <w:r>
              <w:rPr>
                <w:rFonts w:ascii="Times New Roman" w:hAnsi="Times New Roman"/>
                <w:color w:val="1E293B"/>
                <w:sz w:val="17"/>
              </w:rPr>
              <w:t>1,248 bytes</w:t>
            </w:r>
          </w:p>
        </w:tc>
        <w:tc>
          <w:tcPr>
            <w:tcW w:type="dxa" w:w="2160"/>
            <w:shd w:val="clear" w:color="auto" w:fill="FFFFFF"/>
            <w:tcMar>
              <w:top w:w="80" w:type="dxa"/>
              <w:bottom w:w="80" w:type="dxa"/>
              <w:left w:w="100" w:type="dxa"/>
              <w:right w:w="100" w:type="dxa"/>
            </w:tcMar>
          </w:tcPr>
          <w:p>
            <w:pPr>
              <w:jc w:val="center"/>
            </w:pPr>
            <w:r>
              <w:rPr>
                <w:rFonts w:ascii="Times New Roman" w:hAnsi="Times New Roman"/>
                <w:color w:val="1E293B"/>
                <w:sz w:val="17"/>
              </w:rPr>
              <w:t>bafkreiegat25m4vgoltbz...</w:t>
            </w:r>
          </w:p>
        </w:tc>
        <w:tc>
          <w:tcPr>
            <w:tcW w:type="dxa" w:w="2160"/>
            <w:shd w:val="clear" w:color="auto" w:fill="FFFFFF"/>
            <w:tcMar>
              <w:top w:w="80" w:type="dxa"/>
              <w:bottom w:w="80" w:type="dxa"/>
              <w:left w:w="100" w:type="dxa"/>
              <w:right w:w="100" w:type="dxa"/>
            </w:tcMar>
          </w:tcPr>
          <w:p>
            <w:pPr>
              <w:jc w:val="center"/>
            </w:pPr>
            <w:r>
              <w:rPr>
                <w:rFonts w:ascii="Times New Roman" w:hAnsi="Times New Roman"/>
                <w:color w:val="1E293B"/>
                <w:sz w:val="17"/>
              </w:rPr>
              <w:t>(Role_Doctor AND Dept_Cardiology)</w:t>
            </w:r>
          </w:p>
        </w:tc>
      </w:tr>
      <w:tr>
        <w:tc>
          <w:tcPr>
            <w:tcW w:type="dxa" w:w="1152"/>
            <w:shd w:val="clear" w:color="auto" w:fill="F8FAFC"/>
            <w:tcMar>
              <w:top w:w="80" w:type="dxa"/>
              <w:bottom w:w="80" w:type="dxa"/>
              <w:left w:w="100" w:type="dxa"/>
              <w:right w:w="100" w:type="dxa"/>
            </w:tcMar>
          </w:tcPr>
          <w:p>
            <w:pPr>
              <w:jc w:val="left"/>
            </w:pPr>
            <w:r>
              <w:rPr>
                <w:rFonts w:ascii="Times New Roman" w:hAnsi="Times New Roman"/>
                <w:color w:val="1E293B"/>
                <w:sz w:val="17"/>
              </w:rPr>
              <w:t>#102</w:t>
            </w:r>
          </w:p>
        </w:tc>
        <w:tc>
          <w:tcPr>
            <w:tcW w:type="dxa" w:w="1872"/>
            <w:shd w:val="clear" w:color="auto" w:fill="F8FAFC"/>
            <w:tcMar>
              <w:top w:w="80" w:type="dxa"/>
              <w:bottom w:w="80" w:type="dxa"/>
              <w:left w:w="100" w:type="dxa"/>
              <w:right w:w="100" w:type="dxa"/>
            </w:tcMar>
          </w:tcPr>
          <w:p>
            <w:pPr>
              <w:jc w:val="center"/>
            </w:pPr>
            <w:r>
              <w:rPr>
                <w:rFonts w:ascii="Times New Roman" w:hAnsi="Times New Roman"/>
                <w:color w:val="1E293B"/>
                <w:sz w:val="17"/>
              </w:rPr>
              <w:t>Cardiology</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JSON Stream</w:t>
            </w:r>
          </w:p>
        </w:tc>
        <w:tc>
          <w:tcPr>
            <w:tcW w:type="dxa" w:w="1440"/>
            <w:shd w:val="clear" w:color="auto" w:fill="F8FAFC"/>
            <w:tcMar>
              <w:top w:w="80" w:type="dxa"/>
              <w:bottom w:w="80" w:type="dxa"/>
              <w:left w:w="100" w:type="dxa"/>
              <w:right w:w="100" w:type="dxa"/>
            </w:tcMar>
          </w:tcPr>
          <w:p>
            <w:pPr>
              <w:jc w:val="center"/>
            </w:pPr>
            <w:r>
              <w:rPr>
                <w:rFonts w:ascii="Times New Roman" w:hAnsi="Times New Roman"/>
                <w:color w:val="1E293B"/>
                <w:sz w:val="17"/>
              </w:rPr>
              <w:t>3,412 bytes</w:t>
            </w:r>
          </w:p>
        </w:tc>
        <w:tc>
          <w:tcPr>
            <w:tcW w:type="dxa" w:w="2160"/>
            <w:shd w:val="clear" w:color="auto" w:fill="F8FAFC"/>
            <w:tcMar>
              <w:top w:w="80" w:type="dxa"/>
              <w:bottom w:w="80" w:type="dxa"/>
              <w:left w:w="100" w:type="dxa"/>
              <w:right w:w="100" w:type="dxa"/>
            </w:tcMar>
          </w:tcPr>
          <w:p>
            <w:pPr>
              <w:jc w:val="center"/>
            </w:pPr>
            <w:r>
              <w:rPr>
                <w:rFonts w:ascii="Times New Roman" w:hAnsi="Times New Roman"/>
                <w:color w:val="1E293B"/>
                <w:sz w:val="17"/>
              </w:rPr>
              <w:t>bafkreih32vlkjad8912kd...</w:t>
            </w:r>
          </w:p>
        </w:tc>
        <w:tc>
          <w:tcPr>
            <w:tcW w:type="dxa" w:w="2160"/>
            <w:shd w:val="clear" w:color="auto" w:fill="F8FAFC"/>
            <w:tcMar>
              <w:top w:w="80" w:type="dxa"/>
              <w:bottom w:w="80" w:type="dxa"/>
              <w:left w:w="100" w:type="dxa"/>
              <w:right w:w="100" w:type="dxa"/>
            </w:tcMar>
          </w:tcPr>
          <w:p>
            <w:pPr>
              <w:jc w:val="center"/>
            </w:pPr>
            <w:r>
              <w:rPr>
                <w:rFonts w:ascii="Times New Roman" w:hAnsi="Times New Roman"/>
                <w:color w:val="1E293B"/>
                <w:sz w:val="17"/>
              </w:rPr>
              <w:t>(Role_Doctor AND Dept_Cardiology)</w:t>
            </w:r>
          </w:p>
        </w:tc>
      </w:tr>
      <w:tr>
        <w:tc>
          <w:tcPr>
            <w:tcW w:type="dxa" w:w="1152"/>
            <w:shd w:val="clear" w:color="auto" w:fill="FFFFFF"/>
            <w:tcMar>
              <w:top w:w="80" w:type="dxa"/>
              <w:bottom w:w="80" w:type="dxa"/>
              <w:left w:w="100" w:type="dxa"/>
              <w:right w:w="100" w:type="dxa"/>
            </w:tcMar>
          </w:tcPr>
          <w:p>
            <w:pPr>
              <w:jc w:val="left"/>
            </w:pPr>
            <w:r>
              <w:rPr>
                <w:rFonts w:ascii="Times New Roman" w:hAnsi="Times New Roman"/>
                <w:color w:val="1E293B"/>
                <w:sz w:val="17"/>
              </w:rPr>
              <w:t>#103</w:t>
            </w:r>
          </w:p>
        </w:tc>
        <w:tc>
          <w:tcPr>
            <w:tcW w:type="dxa" w:w="1872"/>
            <w:shd w:val="clear" w:color="auto" w:fill="FFFFFF"/>
            <w:tcMar>
              <w:top w:w="80" w:type="dxa"/>
              <w:bottom w:w="80" w:type="dxa"/>
              <w:left w:w="100" w:type="dxa"/>
              <w:right w:w="100" w:type="dxa"/>
            </w:tcMar>
          </w:tcPr>
          <w:p>
            <w:pPr>
              <w:jc w:val="center"/>
            </w:pPr>
            <w:r>
              <w:rPr>
                <w:rFonts w:ascii="Times New Roman" w:hAnsi="Times New Roman"/>
                <w:color w:val="1E293B"/>
                <w:sz w:val="17"/>
              </w:rPr>
              <w:t>Neurology</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Medical Text</w:t>
            </w:r>
          </w:p>
        </w:tc>
        <w:tc>
          <w:tcPr>
            <w:tcW w:type="dxa" w:w="1440"/>
            <w:shd w:val="clear" w:color="auto" w:fill="FFFFFF"/>
            <w:tcMar>
              <w:top w:w="80" w:type="dxa"/>
              <w:bottom w:w="80" w:type="dxa"/>
              <w:left w:w="100" w:type="dxa"/>
              <w:right w:w="100" w:type="dxa"/>
            </w:tcMar>
          </w:tcPr>
          <w:p>
            <w:pPr>
              <w:jc w:val="center"/>
            </w:pPr>
            <w:r>
              <w:rPr>
                <w:rFonts w:ascii="Times New Roman" w:hAnsi="Times New Roman"/>
                <w:color w:val="1E293B"/>
                <w:sz w:val="17"/>
              </w:rPr>
              <w:t>2,180 bytes</w:t>
            </w:r>
          </w:p>
        </w:tc>
        <w:tc>
          <w:tcPr>
            <w:tcW w:type="dxa" w:w="2160"/>
            <w:shd w:val="clear" w:color="auto" w:fill="FFFFFF"/>
            <w:tcMar>
              <w:top w:w="80" w:type="dxa"/>
              <w:bottom w:w="80" w:type="dxa"/>
              <w:left w:w="100" w:type="dxa"/>
              <w:right w:w="100" w:type="dxa"/>
            </w:tcMar>
          </w:tcPr>
          <w:p>
            <w:pPr>
              <w:jc w:val="center"/>
            </w:pPr>
            <w:r>
              <w:rPr>
                <w:rFonts w:ascii="Times New Roman" w:hAnsi="Times New Roman"/>
                <w:color w:val="1E293B"/>
                <w:sz w:val="17"/>
              </w:rPr>
              <w:t>bafkreif98234nkjasd981...</w:t>
            </w:r>
          </w:p>
        </w:tc>
        <w:tc>
          <w:tcPr>
            <w:tcW w:type="dxa" w:w="2160"/>
            <w:shd w:val="clear" w:color="auto" w:fill="FFFFFF"/>
            <w:tcMar>
              <w:top w:w="80" w:type="dxa"/>
              <w:bottom w:w="80" w:type="dxa"/>
              <w:left w:w="100" w:type="dxa"/>
              <w:right w:w="100" w:type="dxa"/>
            </w:tcMar>
          </w:tcPr>
          <w:p>
            <w:pPr>
              <w:jc w:val="center"/>
            </w:pPr>
            <w:r>
              <w:rPr>
                <w:rFonts w:ascii="Times New Roman" w:hAnsi="Times New Roman"/>
                <w:color w:val="1E293B"/>
                <w:sz w:val="17"/>
              </w:rPr>
              <w:t>(Role_Doctor AND Dept_Neurology)</w:t>
            </w:r>
          </w:p>
        </w:tc>
      </w:tr>
      <w:tr>
        <w:tc>
          <w:tcPr>
            <w:tcW w:type="dxa" w:w="1152"/>
            <w:shd w:val="clear" w:color="auto" w:fill="F8FAFC"/>
            <w:tcMar>
              <w:top w:w="80" w:type="dxa"/>
              <w:bottom w:w="80" w:type="dxa"/>
              <w:left w:w="100" w:type="dxa"/>
              <w:right w:w="100" w:type="dxa"/>
            </w:tcMar>
          </w:tcPr>
          <w:p>
            <w:pPr>
              <w:jc w:val="left"/>
            </w:pPr>
            <w:r>
              <w:rPr>
                <w:rFonts w:ascii="Times New Roman" w:hAnsi="Times New Roman"/>
                <w:color w:val="1E293B"/>
                <w:sz w:val="17"/>
              </w:rPr>
              <w:t>#104</w:t>
            </w:r>
          </w:p>
        </w:tc>
        <w:tc>
          <w:tcPr>
            <w:tcW w:type="dxa" w:w="1872"/>
            <w:shd w:val="clear" w:color="auto" w:fill="F8FAFC"/>
            <w:tcMar>
              <w:top w:w="80" w:type="dxa"/>
              <w:bottom w:w="80" w:type="dxa"/>
              <w:left w:w="100" w:type="dxa"/>
              <w:right w:w="100" w:type="dxa"/>
            </w:tcMar>
          </w:tcPr>
          <w:p>
            <w:pPr>
              <w:jc w:val="center"/>
            </w:pPr>
            <w:r>
              <w:rPr>
                <w:rFonts w:ascii="Times New Roman" w:hAnsi="Times New Roman"/>
                <w:color w:val="1E293B"/>
                <w:sz w:val="17"/>
              </w:rPr>
              <w:t>Neurology</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Tabular (.csv)</w:t>
            </w:r>
          </w:p>
        </w:tc>
        <w:tc>
          <w:tcPr>
            <w:tcW w:type="dxa" w:w="1440"/>
            <w:shd w:val="clear" w:color="auto" w:fill="F8FAFC"/>
            <w:tcMar>
              <w:top w:w="80" w:type="dxa"/>
              <w:bottom w:w="80" w:type="dxa"/>
              <w:left w:w="100" w:type="dxa"/>
              <w:right w:w="100" w:type="dxa"/>
            </w:tcMar>
          </w:tcPr>
          <w:p>
            <w:pPr>
              <w:jc w:val="center"/>
            </w:pPr>
            <w:r>
              <w:rPr>
                <w:rFonts w:ascii="Times New Roman" w:hAnsi="Times New Roman"/>
                <w:color w:val="1E293B"/>
                <w:sz w:val="17"/>
              </w:rPr>
              <w:t>1,875 bytes</w:t>
            </w:r>
          </w:p>
        </w:tc>
        <w:tc>
          <w:tcPr>
            <w:tcW w:type="dxa" w:w="2160"/>
            <w:shd w:val="clear" w:color="auto" w:fill="F8FAFC"/>
            <w:tcMar>
              <w:top w:w="80" w:type="dxa"/>
              <w:bottom w:w="80" w:type="dxa"/>
              <w:left w:w="100" w:type="dxa"/>
              <w:right w:w="100" w:type="dxa"/>
            </w:tcMar>
          </w:tcPr>
          <w:p>
            <w:pPr>
              <w:jc w:val="center"/>
            </w:pPr>
            <w:r>
              <w:rPr>
                <w:rFonts w:ascii="Times New Roman" w:hAnsi="Times New Roman"/>
                <w:color w:val="1E293B"/>
                <w:sz w:val="17"/>
              </w:rPr>
              <w:t>bafkreia09123jkasdf872...</w:t>
            </w:r>
          </w:p>
        </w:tc>
        <w:tc>
          <w:tcPr>
            <w:tcW w:type="dxa" w:w="2160"/>
            <w:shd w:val="clear" w:color="auto" w:fill="F8FAFC"/>
            <w:tcMar>
              <w:top w:w="80" w:type="dxa"/>
              <w:bottom w:w="80" w:type="dxa"/>
              <w:left w:w="100" w:type="dxa"/>
              <w:right w:w="100" w:type="dxa"/>
            </w:tcMar>
          </w:tcPr>
          <w:p>
            <w:pPr>
              <w:jc w:val="center"/>
            </w:pPr>
            <w:r>
              <w:rPr>
                <w:rFonts w:ascii="Times New Roman" w:hAnsi="Times New Roman"/>
                <w:color w:val="1E293B"/>
                <w:sz w:val="17"/>
              </w:rPr>
              <w:t>(Role_Nurse OR Dept_Neurology)</w:t>
            </w:r>
          </w:p>
        </w:tc>
      </w:tr>
      <w:tr>
        <w:tc>
          <w:tcPr>
            <w:tcW w:type="dxa" w:w="1152"/>
            <w:shd w:val="clear" w:color="auto" w:fill="FFFFFF"/>
            <w:tcMar>
              <w:top w:w="80" w:type="dxa"/>
              <w:bottom w:w="80" w:type="dxa"/>
              <w:left w:w="100" w:type="dxa"/>
              <w:right w:w="100" w:type="dxa"/>
            </w:tcMar>
          </w:tcPr>
          <w:p>
            <w:pPr>
              <w:jc w:val="left"/>
            </w:pPr>
            <w:r>
              <w:rPr>
                <w:rFonts w:ascii="Times New Roman" w:hAnsi="Times New Roman"/>
                <w:color w:val="1E293B"/>
                <w:sz w:val="17"/>
              </w:rPr>
              <w:t>#105</w:t>
            </w:r>
          </w:p>
        </w:tc>
        <w:tc>
          <w:tcPr>
            <w:tcW w:type="dxa" w:w="1872"/>
            <w:shd w:val="clear" w:color="auto" w:fill="FFFFFF"/>
            <w:tcMar>
              <w:top w:w="80" w:type="dxa"/>
              <w:bottom w:w="80" w:type="dxa"/>
              <w:left w:w="100" w:type="dxa"/>
              <w:right w:w="100" w:type="dxa"/>
            </w:tcMar>
          </w:tcPr>
          <w:p>
            <w:pPr>
              <w:jc w:val="center"/>
            </w:pPr>
            <w:r>
              <w:rPr>
                <w:rFonts w:ascii="Times New Roman" w:hAnsi="Times New Roman"/>
                <w:color w:val="1E293B"/>
                <w:sz w:val="17"/>
              </w:rPr>
              <w:t>Oncology</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Pathology Text</w:t>
            </w:r>
          </w:p>
        </w:tc>
        <w:tc>
          <w:tcPr>
            <w:tcW w:type="dxa" w:w="1440"/>
            <w:shd w:val="clear" w:color="auto" w:fill="FFFFFF"/>
            <w:tcMar>
              <w:top w:w="80" w:type="dxa"/>
              <w:bottom w:w="80" w:type="dxa"/>
              <w:left w:w="100" w:type="dxa"/>
              <w:right w:w="100" w:type="dxa"/>
            </w:tcMar>
          </w:tcPr>
          <w:p>
            <w:pPr>
              <w:jc w:val="center"/>
            </w:pPr>
            <w:r>
              <w:rPr>
                <w:rFonts w:ascii="Times New Roman" w:hAnsi="Times New Roman"/>
                <w:color w:val="1E293B"/>
                <w:sz w:val="17"/>
              </w:rPr>
              <w:t>4,210 bytes</w:t>
            </w:r>
          </w:p>
        </w:tc>
        <w:tc>
          <w:tcPr>
            <w:tcW w:type="dxa" w:w="2160"/>
            <w:shd w:val="clear" w:color="auto" w:fill="FFFFFF"/>
            <w:tcMar>
              <w:top w:w="80" w:type="dxa"/>
              <w:bottom w:w="80" w:type="dxa"/>
              <w:left w:w="100" w:type="dxa"/>
              <w:right w:w="100" w:type="dxa"/>
            </w:tcMar>
          </w:tcPr>
          <w:p>
            <w:pPr>
              <w:jc w:val="center"/>
            </w:pPr>
            <w:r>
              <w:rPr>
                <w:rFonts w:ascii="Times New Roman" w:hAnsi="Times New Roman"/>
                <w:color w:val="1E293B"/>
                <w:sz w:val="17"/>
              </w:rPr>
              <w:t>bafkreid89123kljasdf98...</w:t>
            </w:r>
          </w:p>
        </w:tc>
        <w:tc>
          <w:tcPr>
            <w:tcW w:type="dxa" w:w="2160"/>
            <w:shd w:val="clear" w:color="auto" w:fill="FFFFFF"/>
            <w:tcMar>
              <w:top w:w="80" w:type="dxa"/>
              <w:bottom w:w="80" w:type="dxa"/>
              <w:left w:w="100" w:type="dxa"/>
              <w:right w:w="100" w:type="dxa"/>
            </w:tcMar>
          </w:tcPr>
          <w:p>
            <w:pPr>
              <w:jc w:val="center"/>
            </w:pPr>
            <w:r>
              <w:rPr>
                <w:rFonts w:ascii="Times New Roman" w:hAnsi="Times New Roman"/>
                <w:color w:val="1E293B"/>
                <w:sz w:val="17"/>
              </w:rPr>
              <w:t>(Role_Doctor AND Dept_Oncology)</w:t>
            </w:r>
          </w:p>
        </w:tc>
      </w:tr>
      <w:tr>
        <w:tc>
          <w:tcPr>
            <w:tcW w:type="dxa" w:w="1152"/>
            <w:shd w:val="clear" w:color="auto" w:fill="F8FAFC"/>
            <w:tcMar>
              <w:top w:w="80" w:type="dxa"/>
              <w:bottom w:w="80" w:type="dxa"/>
              <w:left w:w="100" w:type="dxa"/>
              <w:right w:w="100" w:type="dxa"/>
            </w:tcMar>
          </w:tcPr>
          <w:p>
            <w:pPr>
              <w:jc w:val="left"/>
            </w:pPr>
            <w:r>
              <w:rPr>
                <w:rFonts w:ascii="Times New Roman" w:hAnsi="Times New Roman"/>
                <w:color w:val="1E293B"/>
                <w:sz w:val="17"/>
              </w:rPr>
              <w:t>#106</w:t>
            </w:r>
          </w:p>
        </w:tc>
        <w:tc>
          <w:tcPr>
            <w:tcW w:type="dxa" w:w="1872"/>
            <w:shd w:val="clear" w:color="auto" w:fill="F8FAFC"/>
            <w:tcMar>
              <w:top w:w="80" w:type="dxa"/>
              <w:bottom w:w="80" w:type="dxa"/>
              <w:left w:w="100" w:type="dxa"/>
              <w:right w:w="100" w:type="dxa"/>
            </w:tcMar>
          </w:tcPr>
          <w:p>
            <w:pPr>
              <w:jc w:val="center"/>
            </w:pPr>
            <w:r>
              <w:rPr>
                <w:rFonts w:ascii="Times New Roman" w:hAnsi="Times New Roman"/>
                <w:color w:val="1E293B"/>
                <w:sz w:val="17"/>
              </w:rPr>
              <w:t>Oncology</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JSON Genomic</w:t>
            </w:r>
          </w:p>
        </w:tc>
        <w:tc>
          <w:tcPr>
            <w:tcW w:type="dxa" w:w="1440"/>
            <w:shd w:val="clear" w:color="auto" w:fill="F8FAFC"/>
            <w:tcMar>
              <w:top w:w="80" w:type="dxa"/>
              <w:bottom w:w="80" w:type="dxa"/>
              <w:left w:w="100" w:type="dxa"/>
              <w:right w:w="100" w:type="dxa"/>
            </w:tcMar>
          </w:tcPr>
          <w:p>
            <w:pPr>
              <w:jc w:val="center"/>
            </w:pPr>
            <w:r>
              <w:rPr>
                <w:rFonts w:ascii="Times New Roman" w:hAnsi="Times New Roman"/>
                <w:color w:val="1E293B"/>
                <w:sz w:val="17"/>
              </w:rPr>
              <w:t>5,120 bytes</w:t>
            </w:r>
          </w:p>
        </w:tc>
        <w:tc>
          <w:tcPr>
            <w:tcW w:type="dxa" w:w="2160"/>
            <w:shd w:val="clear" w:color="auto" w:fill="F8FAFC"/>
            <w:tcMar>
              <w:top w:w="80" w:type="dxa"/>
              <w:bottom w:w="80" w:type="dxa"/>
              <w:left w:w="100" w:type="dxa"/>
              <w:right w:w="100" w:type="dxa"/>
            </w:tcMar>
          </w:tcPr>
          <w:p>
            <w:pPr>
              <w:jc w:val="center"/>
            </w:pPr>
            <w:r>
              <w:rPr>
                <w:rFonts w:ascii="Times New Roman" w:hAnsi="Times New Roman"/>
                <w:color w:val="1E293B"/>
                <w:sz w:val="17"/>
              </w:rPr>
              <w:t>bafkreic78123kjasdf981...</w:t>
            </w:r>
          </w:p>
        </w:tc>
        <w:tc>
          <w:tcPr>
            <w:tcW w:type="dxa" w:w="2160"/>
            <w:shd w:val="clear" w:color="auto" w:fill="F8FAFC"/>
            <w:tcMar>
              <w:top w:w="80" w:type="dxa"/>
              <w:bottom w:w="80" w:type="dxa"/>
              <w:left w:w="100" w:type="dxa"/>
              <w:right w:w="100" w:type="dxa"/>
            </w:tcMar>
          </w:tcPr>
          <w:p>
            <w:pPr>
              <w:jc w:val="center"/>
            </w:pPr>
            <w:r>
              <w:rPr>
                <w:rFonts w:ascii="Times New Roman" w:hAnsi="Times New Roman"/>
                <w:color w:val="1E293B"/>
                <w:sz w:val="17"/>
              </w:rPr>
              <w:t>(Role_Doctor AND Dept_Oncology)</w:t>
            </w:r>
          </w:p>
        </w:tc>
      </w:tr>
      <w:tr>
        <w:tc>
          <w:tcPr>
            <w:tcW w:type="dxa" w:w="1152"/>
            <w:shd w:val="clear" w:color="auto" w:fill="FFFFFF"/>
            <w:tcMar>
              <w:top w:w="80" w:type="dxa"/>
              <w:bottom w:w="80" w:type="dxa"/>
              <w:left w:w="100" w:type="dxa"/>
              <w:right w:w="100" w:type="dxa"/>
            </w:tcMar>
          </w:tcPr>
          <w:p>
            <w:pPr>
              <w:jc w:val="left"/>
            </w:pPr>
            <w:r>
              <w:rPr>
                <w:rFonts w:ascii="Times New Roman" w:hAnsi="Times New Roman"/>
                <w:color w:val="1E293B"/>
                <w:sz w:val="17"/>
              </w:rPr>
              <w:t>#107</w:t>
            </w:r>
          </w:p>
        </w:tc>
        <w:tc>
          <w:tcPr>
            <w:tcW w:type="dxa" w:w="1872"/>
            <w:shd w:val="clear" w:color="auto" w:fill="FFFFFF"/>
            <w:tcMar>
              <w:top w:w="80" w:type="dxa"/>
              <w:bottom w:w="80" w:type="dxa"/>
              <w:left w:w="100" w:type="dxa"/>
              <w:right w:w="100" w:type="dxa"/>
            </w:tcMar>
          </w:tcPr>
          <w:p>
            <w:pPr>
              <w:jc w:val="center"/>
            </w:pPr>
            <w:r>
              <w:rPr>
                <w:rFonts w:ascii="Times New Roman" w:hAnsi="Times New Roman"/>
                <w:color w:val="1E293B"/>
                <w:sz w:val="17"/>
              </w:rPr>
              <w:t>Pediatrics</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Clinical Vitals</w:t>
            </w:r>
          </w:p>
        </w:tc>
        <w:tc>
          <w:tcPr>
            <w:tcW w:type="dxa" w:w="1440"/>
            <w:shd w:val="clear" w:color="auto" w:fill="FFFFFF"/>
            <w:tcMar>
              <w:top w:w="80" w:type="dxa"/>
              <w:bottom w:w="80" w:type="dxa"/>
              <w:left w:w="100" w:type="dxa"/>
              <w:right w:w="100" w:type="dxa"/>
            </w:tcMar>
          </w:tcPr>
          <w:p>
            <w:pPr>
              <w:jc w:val="center"/>
            </w:pPr>
            <w:r>
              <w:rPr>
                <w:rFonts w:ascii="Times New Roman" w:hAnsi="Times New Roman"/>
                <w:color w:val="1E293B"/>
                <w:sz w:val="17"/>
              </w:rPr>
              <w:t>1,540 bytes</w:t>
            </w:r>
          </w:p>
        </w:tc>
        <w:tc>
          <w:tcPr>
            <w:tcW w:type="dxa" w:w="2160"/>
            <w:shd w:val="clear" w:color="auto" w:fill="FFFFFF"/>
            <w:tcMar>
              <w:top w:w="80" w:type="dxa"/>
              <w:bottom w:w="80" w:type="dxa"/>
              <w:left w:w="100" w:type="dxa"/>
              <w:right w:w="100" w:type="dxa"/>
            </w:tcMar>
          </w:tcPr>
          <w:p>
            <w:pPr>
              <w:jc w:val="center"/>
            </w:pPr>
            <w:r>
              <w:rPr>
                <w:rFonts w:ascii="Times New Roman" w:hAnsi="Times New Roman"/>
                <w:color w:val="1E293B"/>
                <w:sz w:val="17"/>
              </w:rPr>
              <w:t>bafkreie12349jkasdf871...</w:t>
            </w:r>
          </w:p>
        </w:tc>
        <w:tc>
          <w:tcPr>
            <w:tcW w:type="dxa" w:w="2160"/>
            <w:shd w:val="clear" w:color="auto" w:fill="FFFFFF"/>
            <w:tcMar>
              <w:top w:w="80" w:type="dxa"/>
              <w:bottom w:w="80" w:type="dxa"/>
              <w:left w:w="100" w:type="dxa"/>
              <w:right w:w="100" w:type="dxa"/>
            </w:tcMar>
          </w:tcPr>
          <w:p>
            <w:pPr>
              <w:jc w:val="center"/>
            </w:pPr>
            <w:r>
              <w:rPr>
                <w:rFonts w:ascii="Times New Roman" w:hAnsi="Times New Roman"/>
                <w:color w:val="1E293B"/>
                <w:sz w:val="17"/>
              </w:rPr>
              <w:t>(Role_Nurse OR Dept_Pediatrics)</w:t>
            </w:r>
          </w:p>
        </w:tc>
      </w:tr>
      <w:tr>
        <w:tc>
          <w:tcPr>
            <w:tcW w:type="dxa" w:w="1152"/>
            <w:shd w:val="clear" w:color="auto" w:fill="F8FAFC"/>
            <w:tcMar>
              <w:top w:w="80" w:type="dxa"/>
              <w:bottom w:w="80" w:type="dxa"/>
              <w:left w:w="100" w:type="dxa"/>
              <w:right w:w="100" w:type="dxa"/>
            </w:tcMar>
          </w:tcPr>
          <w:p>
            <w:pPr>
              <w:jc w:val="left"/>
            </w:pPr>
            <w:r>
              <w:rPr>
                <w:rFonts w:ascii="Times New Roman" w:hAnsi="Times New Roman"/>
                <w:color w:val="1E293B"/>
                <w:sz w:val="17"/>
              </w:rPr>
              <w:t>#108</w:t>
            </w:r>
          </w:p>
        </w:tc>
        <w:tc>
          <w:tcPr>
            <w:tcW w:type="dxa" w:w="1872"/>
            <w:shd w:val="clear" w:color="auto" w:fill="F8FAFC"/>
            <w:tcMar>
              <w:top w:w="80" w:type="dxa"/>
              <w:bottom w:w="80" w:type="dxa"/>
              <w:left w:w="100" w:type="dxa"/>
              <w:right w:w="100" w:type="dxa"/>
            </w:tcMar>
          </w:tcPr>
          <w:p>
            <w:pPr>
              <w:jc w:val="center"/>
            </w:pPr>
            <w:r>
              <w:rPr>
                <w:rFonts w:ascii="Times New Roman" w:hAnsi="Times New Roman"/>
                <w:color w:val="1E293B"/>
                <w:sz w:val="17"/>
              </w:rPr>
              <w:t>Inpatient</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Discharge Text</w:t>
            </w:r>
          </w:p>
        </w:tc>
        <w:tc>
          <w:tcPr>
            <w:tcW w:type="dxa" w:w="1440"/>
            <w:shd w:val="clear" w:color="auto" w:fill="F8FAFC"/>
            <w:tcMar>
              <w:top w:w="80" w:type="dxa"/>
              <w:bottom w:w="80" w:type="dxa"/>
              <w:left w:w="100" w:type="dxa"/>
              <w:right w:w="100" w:type="dxa"/>
            </w:tcMar>
          </w:tcPr>
          <w:p>
            <w:pPr>
              <w:jc w:val="center"/>
            </w:pPr>
            <w:r>
              <w:rPr>
                <w:rFonts w:ascii="Times New Roman" w:hAnsi="Times New Roman"/>
                <w:color w:val="1E293B"/>
                <w:sz w:val="17"/>
              </w:rPr>
              <w:t>3,890 bytes</w:t>
            </w:r>
          </w:p>
        </w:tc>
        <w:tc>
          <w:tcPr>
            <w:tcW w:type="dxa" w:w="2160"/>
            <w:shd w:val="clear" w:color="auto" w:fill="F8FAFC"/>
            <w:tcMar>
              <w:top w:w="80" w:type="dxa"/>
              <w:bottom w:w="80" w:type="dxa"/>
              <w:left w:w="100" w:type="dxa"/>
              <w:right w:w="100" w:type="dxa"/>
            </w:tcMar>
          </w:tcPr>
          <w:p>
            <w:pPr>
              <w:jc w:val="center"/>
            </w:pPr>
            <w:r>
              <w:rPr>
                <w:rFonts w:ascii="Times New Roman" w:hAnsi="Times New Roman"/>
                <w:color w:val="1E293B"/>
                <w:sz w:val="17"/>
              </w:rPr>
              <w:t>bafkreig67123kjasdf982...</w:t>
            </w:r>
          </w:p>
        </w:tc>
        <w:tc>
          <w:tcPr>
            <w:tcW w:type="dxa" w:w="2160"/>
            <w:shd w:val="clear" w:color="auto" w:fill="F8FAFC"/>
            <w:tcMar>
              <w:top w:w="80" w:type="dxa"/>
              <w:bottom w:w="80" w:type="dxa"/>
              <w:left w:w="100" w:type="dxa"/>
              <w:right w:w="100" w:type="dxa"/>
            </w:tcMar>
          </w:tcPr>
          <w:p>
            <w:pPr>
              <w:jc w:val="center"/>
            </w:pPr>
            <w:r>
              <w:rPr>
                <w:rFonts w:ascii="Times New Roman" w:hAnsi="Times New Roman"/>
                <w:color w:val="1E293B"/>
                <w:sz w:val="17"/>
              </w:rPr>
              <w:t>(Role_Doctor OR Role_Nurse)</w:t>
            </w:r>
          </w:p>
        </w:tc>
      </w:tr>
    </w:tbl>
    <w:p>
      <w:pPr>
        <w:keepNext/>
        <w:spacing w:before="280" w:after="80"/>
      </w:pPr>
      <w:r>
        <w:rPr>
          <w:rFonts w:ascii="Times New Roman" w:hAnsi="Times New Roman"/>
          <w:b/>
          <w:color w:val="0F172A"/>
          <w:sz w:val="24"/>
        </w:rPr>
        <w:t>IX. PERFORMANCE EVALUATION &amp; EMPIRICAL RESULTS</w:t>
      </w:r>
    </w:p>
    <w:p>
      <w:pPr>
        <w:spacing w:before="0" w:after="100" w:line="276" w:lineRule="auto"/>
        <w:jc w:val="both"/>
      </w:pPr>
      <w:r>
        <w:rPr>
          <w:rFonts w:ascii="Times New Roman" w:hAnsi="Times New Roman"/>
          <w:b/>
          <w:color w:val="0F172A"/>
          <w:sz w:val="20"/>
        </w:rPr>
        <w:t xml:space="preserve">A. Benchmarking Methodology: </w:t>
      </w:r>
      <w:r>
        <w:rPr>
          <w:rFonts w:ascii="Times New Roman" w:hAnsi="Times New Roman"/>
          <w:color w:val="1E293B"/>
          <w:sz w:val="20"/>
        </w:rPr>
        <w:t>To ensure rigorous scientific reproducibility, all execution timings were measured across 30 clean independent runs, discarding the initial warm-up run to eliminate JIT/OS disk caching anomalies. The document collection scale was varied across L in {10, 50, 100, 500, 1000, 2000, 5000} files with m = 3 keywords each.</w:t>
      </w:r>
    </w:p>
    <w:p>
      <w:pPr>
        <w:keepNext/>
        <w:spacing w:before="200" w:after="60"/>
        <w:jc w:val="center"/>
      </w:pPr>
      <w:r>
        <w:rPr>
          <w:rFonts w:ascii="Times New Roman" w:hAnsi="Times New Roman"/>
          <w:b/>
          <w:color w:val="0F172A"/>
          <w:sz w:val="18"/>
        </w:rPr>
        <w:t xml:space="preserve">TABLE VI: </w:t>
      </w:r>
      <w:r>
        <w:rPr>
          <w:rFonts w:ascii="Times New Roman" w:hAnsi="Times New Roman"/>
          <w:b/>
          <w:color w:val="1E3A8A"/>
          <w:sz w:val="17"/>
        </w:rPr>
        <w:t>EMPIRICAL INGESTION LATENCY &amp; SPEEDUP COMPARISON ACROSS 30 INDEPENDENT RUNS (M = 3 KEYWORDS)</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52"/>
            <w:shd w:val="clear" w:color="auto" w:fill="1E3A8A"/>
            <w:tcMar>
              <w:top w:w="120" w:type="dxa"/>
              <w:bottom w:w="120" w:type="dxa"/>
              <w:left w:w="140" w:type="dxa"/>
              <w:right w:w="140" w:type="dxa"/>
            </w:tcMar>
          </w:tcPr>
          <w:p>
            <w:pPr>
              <w:jc w:val="center"/>
            </w:pPr>
            <w:r>
              <w:rPr>
                <w:rFonts w:ascii="Times New Roman" w:hAnsi="Times New Roman"/>
                <w:b/>
                <w:color w:val="FFFFFF"/>
                <w:sz w:val="18"/>
              </w:rPr>
              <w:t>L (Files)</w:t>
            </w:r>
          </w:p>
        </w:tc>
        <w:tc>
          <w:tcPr>
            <w:tcW w:type="dxa" w:w="1296"/>
            <w:shd w:val="clear" w:color="auto" w:fill="1E3A8A"/>
            <w:tcMar>
              <w:top w:w="120" w:type="dxa"/>
              <w:bottom w:w="120" w:type="dxa"/>
              <w:left w:w="140" w:type="dxa"/>
              <w:right w:w="140" w:type="dxa"/>
            </w:tcMar>
          </w:tcPr>
          <w:p>
            <w:pPr>
              <w:jc w:val="center"/>
            </w:pPr>
            <w:r>
              <w:rPr>
                <w:rFonts w:ascii="Times New Roman" w:hAnsi="Times New Roman"/>
                <w:b/>
                <w:color w:val="FFFFFF"/>
                <w:sz w:val="18"/>
              </w:rPr>
              <w:t>Naive Re-encrypt</w:t>
            </w:r>
          </w:p>
        </w:tc>
        <w:tc>
          <w:tcPr>
            <w:tcW w:type="dxa" w:w="1296"/>
            <w:shd w:val="clear" w:color="auto" w:fill="1E3A8A"/>
            <w:tcMar>
              <w:top w:w="120" w:type="dxa"/>
              <w:bottom w:w="120" w:type="dxa"/>
              <w:left w:w="140" w:type="dxa"/>
              <w:right w:w="140" w:type="dxa"/>
            </w:tcMar>
          </w:tcPr>
          <w:p>
            <w:pPr>
              <w:jc w:val="center"/>
            </w:pPr>
            <w:r>
              <w:rPr>
                <w:rFonts w:ascii="Times New Roman" w:hAnsi="Times New Roman"/>
                <w:b/>
                <w:color w:val="FFFFFF"/>
                <w:sz w:val="18"/>
              </w:rPr>
              <w:t>Cheng Index [1]</w:t>
            </w:r>
          </w:p>
        </w:tc>
        <w:tc>
          <w:tcPr>
            <w:tcW w:type="dxa" w:w="1296"/>
            <w:shd w:val="clear" w:color="auto" w:fill="1E3A8A"/>
            <w:tcMar>
              <w:top w:w="120" w:type="dxa"/>
              <w:bottom w:w="120" w:type="dxa"/>
              <w:left w:w="140" w:type="dxa"/>
              <w:right w:w="140" w:type="dxa"/>
            </w:tcMar>
          </w:tcPr>
          <w:p>
            <w:pPr>
              <w:jc w:val="center"/>
            </w:pPr>
            <w:r>
              <w:rPr>
                <w:rFonts w:ascii="Times New Roman" w:hAnsi="Times New Roman"/>
                <w:b/>
                <w:color w:val="FFFFFF"/>
                <w:sz w:val="18"/>
              </w:rPr>
              <w:t>Cheng Full Add</w:t>
            </w:r>
          </w:p>
        </w:tc>
        <w:tc>
          <w:tcPr>
            <w:tcW w:type="dxa" w:w="1152"/>
            <w:shd w:val="clear" w:color="auto" w:fill="1E3A8A"/>
            <w:tcMar>
              <w:top w:w="120" w:type="dxa"/>
              <w:bottom w:w="120" w:type="dxa"/>
              <w:left w:w="140" w:type="dxa"/>
              <w:right w:w="140" w:type="dxa"/>
            </w:tcMar>
          </w:tcPr>
          <w:p>
            <w:pPr>
              <w:jc w:val="center"/>
            </w:pPr>
            <w:r>
              <w:rPr>
                <w:rFonts w:ascii="Times New Roman" w:hAnsi="Times New Roman"/>
                <w:b/>
                <w:color w:val="FFFFFF"/>
                <w:sz w:val="18"/>
              </w:rPr>
              <w:t>BAMKS-D Token</w:t>
            </w:r>
          </w:p>
        </w:tc>
        <w:tc>
          <w:tcPr>
            <w:tcW w:type="dxa" w:w="1152"/>
            <w:shd w:val="clear" w:color="auto" w:fill="1E3A8A"/>
            <w:tcMar>
              <w:top w:w="120" w:type="dxa"/>
              <w:bottom w:w="120" w:type="dxa"/>
              <w:left w:w="140" w:type="dxa"/>
              <w:right w:w="140" w:type="dxa"/>
            </w:tcMar>
          </w:tcPr>
          <w:p>
            <w:pPr>
              <w:jc w:val="center"/>
            </w:pPr>
            <w:r>
              <w:rPr>
                <w:rFonts w:ascii="Times New Roman" w:hAnsi="Times New Roman"/>
                <w:b/>
                <w:color w:val="FFFFFF"/>
                <w:sz w:val="18"/>
              </w:rPr>
              <w:t>BAMKS-D Full Add</w:t>
            </w:r>
          </w:p>
        </w:tc>
        <w:tc>
          <w:tcPr>
            <w:tcW w:type="dxa" w:w="1152"/>
            <w:shd w:val="clear" w:color="auto" w:fill="1E3A8A"/>
            <w:tcMar>
              <w:top w:w="120" w:type="dxa"/>
              <w:bottom w:w="120" w:type="dxa"/>
              <w:left w:w="140" w:type="dxa"/>
              <w:right w:w="140" w:type="dxa"/>
            </w:tcMar>
          </w:tcPr>
          <w:p>
            <w:pPr>
              <w:jc w:val="center"/>
            </w:pPr>
            <w:r>
              <w:rPr>
                <w:rFonts w:ascii="Times New Roman" w:hAnsi="Times New Roman"/>
                <w:b/>
                <w:color w:val="FFFFFF"/>
                <w:sz w:val="18"/>
              </w:rPr>
              <w:t>Pure Index Speedup</w:t>
            </w:r>
          </w:p>
        </w:tc>
        <w:tc>
          <w:tcPr>
            <w:tcW w:type="dxa" w:w="1152"/>
            <w:shd w:val="clear" w:color="auto" w:fill="1E3A8A"/>
            <w:tcMar>
              <w:top w:w="120" w:type="dxa"/>
              <w:bottom w:w="120" w:type="dxa"/>
              <w:left w:w="140" w:type="dxa"/>
              <w:right w:w="140" w:type="dxa"/>
            </w:tcMar>
          </w:tcPr>
          <w:p>
            <w:pPr>
              <w:jc w:val="center"/>
            </w:pPr>
            <w:r>
              <w:rPr>
                <w:rFonts w:ascii="Times New Roman" w:hAnsi="Times New Roman"/>
                <w:b/>
                <w:color w:val="FFFFFF"/>
                <w:sz w:val="18"/>
              </w:rPr>
              <w:t>Full Add Speedup</w:t>
            </w:r>
          </w:p>
        </w:tc>
        <w:tc>
          <w:tcPr>
            <w:tcW w:type="dxa" w:w="1008"/>
            <w:shd w:val="clear" w:color="auto" w:fill="1E3A8A"/>
            <w:tcMar>
              <w:top w:w="120" w:type="dxa"/>
              <w:bottom w:w="120" w:type="dxa"/>
              <w:left w:w="140" w:type="dxa"/>
              <w:right w:w="140" w:type="dxa"/>
            </w:tcMar>
          </w:tcPr>
          <w:p>
            <w:pPr>
              <w:jc w:val="center"/>
            </w:pPr>
            <w:r>
              <w:rPr>
                <w:rFonts w:ascii="Times New Roman" w:hAnsi="Times New Roman"/>
                <w:b/>
                <w:color w:val="FFFFFF"/>
                <w:sz w:val="18"/>
              </w:rPr>
              <w:t>vs. Naive</w:t>
            </w:r>
          </w:p>
        </w:tc>
      </w:tr>
      <w:tr>
        <w:tc>
          <w:tcPr>
            <w:tcW w:type="dxa" w:w="1152"/>
            <w:shd w:val="clear" w:color="auto" w:fill="FFFFFF"/>
            <w:tcMar>
              <w:top w:w="80" w:type="dxa"/>
              <w:bottom w:w="80" w:type="dxa"/>
              <w:left w:w="100" w:type="dxa"/>
              <w:right w:w="100" w:type="dxa"/>
            </w:tcMar>
          </w:tcPr>
          <w:p>
            <w:pPr>
              <w:jc w:val="left"/>
            </w:pPr>
            <w:r>
              <w:rPr>
                <w:rFonts w:ascii="Times New Roman" w:hAnsi="Times New Roman"/>
                <w:color w:val="1E293B"/>
                <w:sz w:val="17"/>
              </w:rPr>
              <w:t>10</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0.49 +/- 0.08 ms</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0.003 +/- 0.001 ms</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0.047 +/- 0.013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0.23 +/- 0.03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0.27 +/- 0.04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0.01x</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0.17x</w:t>
            </w:r>
          </w:p>
        </w:tc>
        <w:tc>
          <w:tcPr>
            <w:tcW w:type="dxa" w:w="1008"/>
            <w:shd w:val="clear" w:color="auto" w:fill="FFFFFF"/>
            <w:tcMar>
              <w:top w:w="80" w:type="dxa"/>
              <w:bottom w:w="80" w:type="dxa"/>
              <w:left w:w="100" w:type="dxa"/>
              <w:right w:w="100" w:type="dxa"/>
            </w:tcMar>
          </w:tcPr>
          <w:p>
            <w:pPr>
              <w:jc w:val="center"/>
            </w:pPr>
            <w:r>
              <w:rPr>
                <w:rFonts w:ascii="Times New Roman" w:hAnsi="Times New Roman"/>
                <w:color w:val="1E293B"/>
                <w:sz w:val="17"/>
              </w:rPr>
              <w:t>1.78x</w:t>
            </w:r>
          </w:p>
        </w:tc>
      </w:tr>
      <w:tr>
        <w:tc>
          <w:tcPr>
            <w:tcW w:type="dxa" w:w="1152"/>
            <w:shd w:val="clear" w:color="auto" w:fill="F8FAFC"/>
            <w:tcMar>
              <w:top w:w="80" w:type="dxa"/>
              <w:bottom w:w="80" w:type="dxa"/>
              <w:left w:w="100" w:type="dxa"/>
              <w:right w:w="100" w:type="dxa"/>
            </w:tcMar>
          </w:tcPr>
          <w:p>
            <w:pPr>
              <w:jc w:val="left"/>
            </w:pPr>
            <w:r>
              <w:rPr>
                <w:rFonts w:ascii="Times New Roman" w:hAnsi="Times New Roman"/>
                <w:color w:val="1E293B"/>
                <w:sz w:val="17"/>
              </w:rPr>
              <w:t>50</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2.26 +/- 0.15 ms</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0.015 +/- 0.002 ms</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0.061 +/- 0.012 ms</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0.23 +/- 0.02 ms</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0.27 +/- 0.03 ms</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0.06x</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0.23x</w:t>
            </w:r>
          </w:p>
        </w:tc>
        <w:tc>
          <w:tcPr>
            <w:tcW w:type="dxa" w:w="1008"/>
            <w:shd w:val="clear" w:color="auto" w:fill="F8FAFC"/>
            <w:tcMar>
              <w:top w:w="80" w:type="dxa"/>
              <w:bottom w:w="80" w:type="dxa"/>
              <w:left w:w="100" w:type="dxa"/>
              <w:right w:w="100" w:type="dxa"/>
            </w:tcMar>
          </w:tcPr>
          <w:p>
            <w:pPr>
              <w:jc w:val="center"/>
            </w:pPr>
            <w:r>
              <w:rPr>
                <w:rFonts w:ascii="Times New Roman" w:hAnsi="Times New Roman"/>
                <w:color w:val="1E293B"/>
                <w:sz w:val="17"/>
              </w:rPr>
              <w:t>8.45x</w:t>
            </w:r>
          </w:p>
        </w:tc>
      </w:tr>
      <w:tr>
        <w:tc>
          <w:tcPr>
            <w:tcW w:type="dxa" w:w="1152"/>
            <w:shd w:val="clear" w:color="auto" w:fill="FFFFFF"/>
            <w:tcMar>
              <w:top w:w="80" w:type="dxa"/>
              <w:bottom w:w="80" w:type="dxa"/>
              <w:left w:w="100" w:type="dxa"/>
              <w:right w:w="100" w:type="dxa"/>
            </w:tcMar>
          </w:tcPr>
          <w:p>
            <w:pPr>
              <w:jc w:val="left"/>
            </w:pPr>
            <w:r>
              <w:rPr>
                <w:rFonts w:ascii="Times New Roman" w:hAnsi="Times New Roman"/>
                <w:color w:val="1E293B"/>
                <w:sz w:val="17"/>
              </w:rPr>
              <w:t>100</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4.66 +/- 0.30 ms</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0.032 +/- 0.007 ms</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0.091 +/- 0.035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0.22 +/- 0.01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0.27 +/- 0.01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0.12x</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0.34x</w:t>
            </w:r>
          </w:p>
        </w:tc>
        <w:tc>
          <w:tcPr>
            <w:tcW w:type="dxa" w:w="1008"/>
            <w:shd w:val="clear" w:color="auto" w:fill="FFFFFF"/>
            <w:tcMar>
              <w:top w:w="80" w:type="dxa"/>
              <w:bottom w:w="80" w:type="dxa"/>
              <w:left w:w="100" w:type="dxa"/>
              <w:right w:w="100" w:type="dxa"/>
            </w:tcMar>
          </w:tcPr>
          <w:p>
            <w:pPr>
              <w:jc w:val="center"/>
            </w:pPr>
            <w:r>
              <w:rPr>
                <w:rFonts w:ascii="Times New Roman" w:hAnsi="Times New Roman"/>
                <w:color w:val="1E293B"/>
                <w:sz w:val="17"/>
              </w:rPr>
              <w:t>17.57x</w:t>
            </w:r>
          </w:p>
        </w:tc>
      </w:tr>
      <w:tr>
        <w:tc>
          <w:tcPr>
            <w:tcW w:type="dxa" w:w="1152"/>
            <w:shd w:val="clear" w:color="auto" w:fill="F8FAFC"/>
            <w:tcMar>
              <w:top w:w="80" w:type="dxa"/>
              <w:bottom w:w="80" w:type="dxa"/>
              <w:left w:w="100" w:type="dxa"/>
              <w:right w:w="100" w:type="dxa"/>
            </w:tcMar>
          </w:tcPr>
          <w:p>
            <w:pPr>
              <w:jc w:val="left"/>
            </w:pPr>
            <w:r>
              <w:rPr>
                <w:rFonts w:ascii="Times New Roman" w:hAnsi="Times New Roman"/>
                <w:color w:val="1E293B"/>
                <w:sz w:val="17"/>
              </w:rPr>
              <w:t>500</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24.49 +/- 4.27 ms</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0.183 +/- 0.070 ms</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0.283 +/- 0.108 ms</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0.25 +/- 0.05 ms</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0.31 +/- 0.09 ms</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0.58x</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0.90x</w:t>
            </w:r>
          </w:p>
        </w:tc>
        <w:tc>
          <w:tcPr>
            <w:tcW w:type="dxa" w:w="1008"/>
            <w:shd w:val="clear" w:color="auto" w:fill="F8FAFC"/>
            <w:tcMar>
              <w:top w:w="80" w:type="dxa"/>
              <w:bottom w:w="80" w:type="dxa"/>
              <w:left w:w="100" w:type="dxa"/>
              <w:right w:w="100" w:type="dxa"/>
            </w:tcMar>
          </w:tcPr>
          <w:p>
            <w:pPr>
              <w:jc w:val="center"/>
            </w:pPr>
            <w:r>
              <w:rPr>
                <w:rFonts w:ascii="Times New Roman" w:hAnsi="Times New Roman"/>
                <w:color w:val="1E293B"/>
                <w:sz w:val="17"/>
              </w:rPr>
              <w:t>77.91x</w:t>
            </w:r>
          </w:p>
        </w:tc>
      </w:tr>
      <w:tr>
        <w:tc>
          <w:tcPr>
            <w:tcW w:type="dxa" w:w="1152"/>
            <w:shd w:val="clear" w:color="auto" w:fill="FFFFFF"/>
            <w:tcMar>
              <w:top w:w="80" w:type="dxa"/>
              <w:bottom w:w="80" w:type="dxa"/>
              <w:left w:w="100" w:type="dxa"/>
              <w:right w:w="100" w:type="dxa"/>
            </w:tcMar>
          </w:tcPr>
          <w:p>
            <w:pPr>
              <w:jc w:val="left"/>
            </w:pPr>
            <w:r>
              <w:rPr>
                <w:rFonts w:ascii="Times New Roman" w:hAnsi="Times New Roman"/>
                <w:color w:val="1E293B"/>
                <w:sz w:val="17"/>
              </w:rPr>
              <w:t>1,000</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45.60 +/- 1.53 ms</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0.325 +/- 0.078 ms</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0.439 +/- 0.111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0.23 +/- 0.03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0.28 +/- 0.04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1.15x</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1.56x</w:t>
            </w:r>
          </w:p>
        </w:tc>
        <w:tc>
          <w:tcPr>
            <w:tcW w:type="dxa" w:w="1008"/>
            <w:shd w:val="clear" w:color="auto" w:fill="FFFFFF"/>
            <w:tcMar>
              <w:top w:w="80" w:type="dxa"/>
              <w:bottom w:w="80" w:type="dxa"/>
              <w:left w:w="100" w:type="dxa"/>
              <w:right w:w="100" w:type="dxa"/>
            </w:tcMar>
          </w:tcPr>
          <w:p>
            <w:pPr>
              <w:jc w:val="center"/>
            </w:pPr>
            <w:r>
              <w:rPr>
                <w:rFonts w:ascii="Times New Roman" w:hAnsi="Times New Roman"/>
                <w:color w:val="1E293B"/>
                <w:sz w:val="17"/>
              </w:rPr>
              <w:t>161.36x</w:t>
            </w:r>
          </w:p>
        </w:tc>
      </w:tr>
      <w:tr>
        <w:tc>
          <w:tcPr>
            <w:tcW w:type="dxa" w:w="1152"/>
            <w:shd w:val="clear" w:color="auto" w:fill="F8FAFC"/>
            <w:tcMar>
              <w:top w:w="80" w:type="dxa"/>
              <w:bottom w:w="80" w:type="dxa"/>
              <w:left w:w="100" w:type="dxa"/>
              <w:right w:w="100" w:type="dxa"/>
            </w:tcMar>
          </w:tcPr>
          <w:p>
            <w:pPr>
              <w:jc w:val="left"/>
            </w:pPr>
            <w:r>
              <w:rPr>
                <w:rFonts w:ascii="Times New Roman" w:hAnsi="Times New Roman"/>
                <w:color w:val="1E293B"/>
                <w:sz w:val="17"/>
              </w:rPr>
              <w:t>2,000</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103.32 +/- 12.85 ms</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0.662 +/- 0.184 ms</w:t>
            </w:r>
          </w:p>
        </w:tc>
        <w:tc>
          <w:tcPr>
            <w:tcW w:type="dxa" w:w="1296"/>
            <w:shd w:val="clear" w:color="auto" w:fill="F8FAFC"/>
            <w:tcMar>
              <w:top w:w="80" w:type="dxa"/>
              <w:bottom w:w="80" w:type="dxa"/>
              <w:left w:w="100" w:type="dxa"/>
              <w:right w:w="100" w:type="dxa"/>
            </w:tcMar>
          </w:tcPr>
          <w:p>
            <w:pPr>
              <w:jc w:val="center"/>
            </w:pPr>
            <w:r>
              <w:rPr>
                <w:rFonts w:ascii="Times New Roman" w:hAnsi="Times New Roman"/>
                <w:color w:val="1E293B"/>
                <w:sz w:val="17"/>
              </w:rPr>
              <w:t>0.787 +/- 0.197 ms</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0.25 +/- 0.05 ms</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0.32 +/- 0.10 ms</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2.04x</w:t>
            </w:r>
          </w:p>
        </w:tc>
        <w:tc>
          <w:tcPr>
            <w:tcW w:type="dxa" w:w="1152"/>
            <w:shd w:val="clear" w:color="auto" w:fill="F8FAFC"/>
            <w:tcMar>
              <w:top w:w="80" w:type="dxa"/>
              <w:bottom w:w="80" w:type="dxa"/>
              <w:left w:w="100" w:type="dxa"/>
              <w:right w:w="100" w:type="dxa"/>
            </w:tcMar>
          </w:tcPr>
          <w:p>
            <w:pPr>
              <w:jc w:val="center"/>
            </w:pPr>
            <w:r>
              <w:rPr>
                <w:rFonts w:ascii="Times New Roman" w:hAnsi="Times New Roman"/>
                <w:color w:val="1E293B"/>
                <w:sz w:val="17"/>
              </w:rPr>
              <w:t>2.42x</w:t>
            </w:r>
          </w:p>
        </w:tc>
        <w:tc>
          <w:tcPr>
            <w:tcW w:type="dxa" w:w="1008"/>
            <w:shd w:val="clear" w:color="auto" w:fill="F8FAFC"/>
            <w:tcMar>
              <w:top w:w="80" w:type="dxa"/>
              <w:bottom w:w="80" w:type="dxa"/>
              <w:left w:w="100" w:type="dxa"/>
              <w:right w:w="100" w:type="dxa"/>
            </w:tcMar>
          </w:tcPr>
          <w:p>
            <w:pPr>
              <w:jc w:val="center"/>
            </w:pPr>
            <w:r>
              <w:rPr>
                <w:rFonts w:ascii="Times New Roman" w:hAnsi="Times New Roman"/>
                <w:color w:val="1E293B"/>
                <w:sz w:val="17"/>
              </w:rPr>
              <w:t>318.22x</w:t>
            </w:r>
          </w:p>
        </w:tc>
      </w:tr>
      <w:tr>
        <w:tc>
          <w:tcPr>
            <w:tcW w:type="dxa" w:w="1152"/>
            <w:shd w:val="clear" w:color="auto" w:fill="FFFFFF"/>
            <w:tcMar>
              <w:top w:w="80" w:type="dxa"/>
              <w:bottom w:w="80" w:type="dxa"/>
              <w:left w:w="100" w:type="dxa"/>
              <w:right w:w="100" w:type="dxa"/>
            </w:tcMar>
          </w:tcPr>
          <w:p>
            <w:pPr>
              <w:jc w:val="left"/>
            </w:pPr>
            <w:r>
              <w:rPr>
                <w:rFonts w:ascii="Times New Roman" w:hAnsi="Times New Roman"/>
                <w:color w:val="1E293B"/>
                <w:sz w:val="17"/>
              </w:rPr>
              <w:t>5,000</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243.64 +/- 16.69 ms</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1.772 +/- 0.551 ms</w:t>
            </w:r>
          </w:p>
        </w:tc>
        <w:tc>
          <w:tcPr>
            <w:tcW w:type="dxa" w:w="1296"/>
            <w:shd w:val="clear" w:color="auto" w:fill="FFFFFF"/>
            <w:tcMar>
              <w:top w:w="80" w:type="dxa"/>
              <w:bottom w:w="80" w:type="dxa"/>
              <w:left w:w="100" w:type="dxa"/>
              <w:right w:w="100" w:type="dxa"/>
            </w:tcMar>
          </w:tcPr>
          <w:p>
            <w:pPr>
              <w:jc w:val="center"/>
            </w:pPr>
            <w:r>
              <w:rPr>
                <w:rFonts w:ascii="Times New Roman" w:hAnsi="Times New Roman"/>
                <w:color w:val="1E293B"/>
                <w:sz w:val="17"/>
              </w:rPr>
              <w:t>1.839 +/- 0.477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0.25 +/- 0.05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0.34 +/- 0.09 ms</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5.27x</w:t>
            </w:r>
          </w:p>
        </w:tc>
        <w:tc>
          <w:tcPr>
            <w:tcW w:type="dxa" w:w="1152"/>
            <w:shd w:val="clear" w:color="auto" w:fill="FFFFFF"/>
            <w:tcMar>
              <w:top w:w="80" w:type="dxa"/>
              <w:bottom w:w="80" w:type="dxa"/>
              <w:left w:w="100" w:type="dxa"/>
              <w:right w:w="100" w:type="dxa"/>
            </w:tcMar>
          </w:tcPr>
          <w:p>
            <w:pPr>
              <w:jc w:val="center"/>
            </w:pPr>
            <w:r>
              <w:rPr>
                <w:rFonts w:ascii="Times New Roman" w:hAnsi="Times New Roman"/>
                <w:color w:val="1E293B"/>
                <w:sz w:val="17"/>
              </w:rPr>
              <w:t>5.46x</w:t>
            </w:r>
          </w:p>
        </w:tc>
        <w:tc>
          <w:tcPr>
            <w:tcW w:type="dxa" w:w="1008"/>
            <w:shd w:val="clear" w:color="auto" w:fill="FFFFFF"/>
            <w:tcMar>
              <w:top w:w="80" w:type="dxa"/>
              <w:bottom w:w="80" w:type="dxa"/>
              <w:left w:w="100" w:type="dxa"/>
              <w:right w:w="100" w:type="dxa"/>
            </w:tcMar>
          </w:tcPr>
          <w:p>
            <w:pPr>
              <w:jc w:val="center"/>
            </w:pPr>
            <w:r>
              <w:rPr>
                <w:rFonts w:ascii="Times New Roman" w:hAnsi="Times New Roman"/>
                <w:color w:val="1E293B"/>
                <w:sz w:val="17"/>
              </w:rPr>
              <w:t>724.01x</w:t>
            </w:r>
          </w:p>
        </w:tc>
      </w:tr>
    </w:tbl>
    <w:p>
      <w:r>
        <w:drawing>
          <wp:inline xmlns:a="http://schemas.openxmlformats.org/drawingml/2006/main" xmlns:pic="http://schemas.openxmlformats.org/drawingml/2006/picture">
            <wp:extent cx="5943600" cy="3820886"/>
            <wp:docPr id="4" name="Picture 4"/>
            <wp:cNvGraphicFramePr>
              <a:graphicFrameLocks noChangeAspect="1"/>
            </wp:cNvGraphicFramePr>
            <a:graphic>
              <a:graphicData uri="http://schemas.openxmlformats.org/drawingml/2006/picture">
                <pic:pic>
                  <pic:nvPicPr>
                    <pic:cNvPr id="0" name="chart_scalability_multi_n.png"/>
                    <pic:cNvPicPr/>
                  </pic:nvPicPr>
                  <pic:blipFill>
                    <a:blip r:embed="rId12"/>
                    <a:stretch>
                      <a:fillRect/>
                    </a:stretch>
                  </pic:blipFill>
                  <pic:spPr>
                    <a:xfrm>
                      <a:off x="0" y="0"/>
                      <a:ext cx="5943600" cy="3820886"/>
                    </a:xfrm>
                    <a:prstGeom prst="rect"/>
                  </pic:spPr>
                </pic:pic>
              </a:graphicData>
            </a:graphic>
          </wp:inline>
        </w:drawing>
      </w:r>
    </w:p>
    <w:p>
      <w:pPr>
        <w:spacing w:before="60" w:after="200"/>
        <w:jc w:val="center"/>
      </w:pPr>
      <w:r>
        <w:rPr>
          <w:rFonts w:ascii="Times New Roman" w:hAnsi="Times New Roman"/>
          <w:b/>
          <w:color w:val="0F172A"/>
          <w:sz w:val="18"/>
        </w:rPr>
        <w:t xml:space="preserve">Figure 4: </w:t>
      </w:r>
      <w:r>
        <w:rPr>
          <w:rFonts w:ascii="Times New Roman" w:hAnsi="Times New Roman"/>
          <w:i/>
          <w:color w:val="475569"/>
          <w:sz w:val="18"/>
        </w:rPr>
        <w:t>Empirical Scalability Curves: Naive Re-encryption vs. Cheng et al. [1] vs. BAMKS-D across L = 10 to 5,000 Files (Log-Log Scale).</w:t>
      </w:r>
    </w:p>
    <w:p>
      <w:pPr>
        <w:spacing w:before="0" w:after="100" w:line="276" w:lineRule="auto"/>
        <w:jc w:val="both"/>
      </w:pPr>
      <w:r>
        <w:rPr>
          <w:rFonts w:ascii="Times New Roman" w:hAnsi="Times New Roman"/>
          <w:b/>
          <w:color w:val="0F172A"/>
          <w:sz w:val="20"/>
        </w:rPr>
        <w:t xml:space="preserve">B. Analysis of Speedup &amp; Crossover Points: </w:t>
      </w:r>
      <w:r>
        <w:rPr>
          <w:rFonts w:ascii="Times New Roman" w:hAnsi="Times New Roman"/>
          <w:color w:val="1E293B"/>
          <w:sz w:val="20"/>
        </w:rPr>
        <w:t>A rigorous comparative evaluation reveals critical performance nuances:</w:t>
        <w:br/>
        <w:t>• Small Collection Overhead (L &lt;= 500): When L is small, multiplying L * m existing scalar index entries under Cheng et al. Section 5.10 requires minimal CPU cycles (0.183 ms at L = 500). In contrast, BAMKS-D performs fresh AES payload encryption, key derivation, and token exponentiation (~0.31 ms flat). Consequently, Cheng et al. is faster for L &lt; 500.</w:t>
        <w:br/>
        <w:t>• Crossover Thresholds: The crossover point occurs at L ~ 800 files for pure index token addition, and at L ~ 600 files for like-for-like full file addition.</w:t>
        <w:br/>
        <w:t>• High Scalability at Enterprise Scale (L = 5,000): At L = 5,000 records, Cheng et al. Section 5.10 consumes 1.772 ms for index multiplication, while BAMKS-D index token generation requires only 0.246 ms, achieving a 5.27x pure index speedup. For full file addition, BAMKS-D runs in 0.337 ms versus 1.839 ms for Cheng et al., delivering a 5.46x speedup. Compared to naive full re-encryption (243.64 ms), BAMKS-D achieves a 724.0x speedup.</w:t>
      </w:r>
    </w:p>
    <w:p>
      <w:pPr>
        <w:keepNext/>
        <w:spacing w:before="280" w:after="80"/>
      </w:pPr>
      <w:r>
        <w:rPr>
          <w:rFonts w:ascii="Times New Roman" w:hAnsi="Times New Roman"/>
          <w:b/>
          <w:color w:val="0F172A"/>
          <w:sz w:val="24"/>
        </w:rPr>
        <w:t>X. PROTOTYPE SCOPE, ASSUMPTIONS &amp; LIMITATIONS</w:t>
      </w:r>
    </w:p>
    <w:p>
      <w:pPr>
        <w:spacing w:before="0" w:after="100" w:line="276" w:lineRule="auto"/>
        <w:jc w:val="both"/>
      </w:pPr>
      <w:r>
        <w:rPr>
          <w:rFonts w:ascii="Times New Roman" w:hAnsi="Times New Roman"/>
          <w:b/>
          <w:color w:val="0F172A"/>
          <w:sz w:val="20"/>
        </w:rPr>
        <w:t xml:space="preserve">A. Transparent Limitations &amp; Threats to Validity: </w:t>
      </w:r>
      <w:r>
        <w:rPr>
          <w:rFonts w:ascii="Times New Roman" w:hAnsi="Times New Roman"/>
          <w:color w:val="1E293B"/>
          <w:sz w:val="20"/>
        </w:rPr>
        <w:t>In adherence to rigorous academic standards, we explicitly delineate the architectural assumptions and boundary conditions of our prototype:</w:t>
        <w:br/>
        <w:br/>
        <w:t>1. Simulated Group Algebra in Z_P*: Our software prototype computes field arithmetic in (Z_P*, *) using the secp256k1 field prime P = 2^256 - 2^32 - 977. The order of Z_P* is composite (P - 1), and bilinear pairing e(g, g) is simulated via modular exponentiation. A production-grade deployment requires migrating to Type-III pairing curves (e.g., BN254 or BLS12-381) [5].</w:t>
        <w:br/>
        <w:br/>
        <w:t>2. Off-Chain SNIZK Verification vs. On-Chain RVSC: While the paper title and slides reference the Result Verification Smart Contract (RVSC), the complex aggregated Schnorr proof (R_agg, pi_agg) is verified off-chain by the clinician client. The on-chain contract enforces non-revocation state checks (deletedDocRegistry) and binds query root hashes, eliminating high on-chain gas costs.</w:t>
        <w:br/>
        <w:br/>
        <w:t>3. Inverted Index Access-Pattern Leakage: Because keyword index tokens I_doc,j = g^(eta * H1(w_j)) are deterministic across documents, an honest-but-curious CSP observing query frequency over time can deduce keyword co-occurrence patterns. Incorporating forward-private dynamic symmetric searchable encryption (DSSE) [11] is planned for future work.</w:t>
        <w:br/>
        <w:br/>
        <w:t>4. Simulated Policy Checking: In this prototype, CP-ABE policy authorization is demonstrated via attribute set matching logic prior to payload decryption, rather than a full algebraic LSSS pairing engine.</w:t>
        <w:br/>
        <w:br/>
        <w:t>5. Local vs. On-Chain Deletion Latency: In local memory, setting deletedDocRegistry takes &lt; 0.001 ms; on public Ethereum Sepolia, mining block confirmation takes 10.37 seconds.</w:t>
      </w:r>
    </w:p>
    <w:p>
      <w:pPr>
        <w:keepNext/>
        <w:spacing w:before="280" w:after="80"/>
      </w:pPr>
      <w:r>
        <w:rPr>
          <w:rFonts w:ascii="Times New Roman" w:hAnsi="Times New Roman"/>
          <w:b/>
          <w:color w:val="0F172A"/>
          <w:sz w:val="24"/>
        </w:rPr>
        <w:t>XI. ARCHITECTURAL COMPARISON &amp; ASYMPTOTIC COMPLEXITY</w:t>
      </w:r>
    </w:p>
    <w:p>
      <w:pPr>
        <w:keepNext/>
        <w:spacing w:before="200" w:after="60"/>
        <w:jc w:val="center"/>
      </w:pPr>
      <w:r>
        <w:rPr>
          <w:rFonts w:ascii="Times New Roman" w:hAnsi="Times New Roman"/>
          <w:b/>
          <w:color w:val="0F172A"/>
          <w:sz w:val="18"/>
        </w:rPr>
        <w:t xml:space="preserve">TABLE VII: </w:t>
      </w:r>
      <w:r>
        <w:rPr>
          <w:rFonts w:ascii="Times New Roman" w:hAnsi="Times New Roman"/>
          <w:b/>
          <w:color w:val="1E3A8A"/>
          <w:sz w:val="17"/>
        </w:rPr>
        <w:t>ASYMPTOTIC TIME AND COMMUNICATION COMPLEXITY COMPARISON</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728"/>
            <w:shd w:val="clear" w:color="auto" w:fill="1E3A8A"/>
            <w:tcMar>
              <w:top w:w="120" w:type="dxa"/>
              <w:bottom w:w="120" w:type="dxa"/>
              <w:left w:w="140" w:type="dxa"/>
              <w:right w:w="140" w:type="dxa"/>
            </w:tcMar>
          </w:tcPr>
          <w:p>
            <w:pPr>
              <w:jc w:val="center"/>
            </w:pPr>
            <w:r>
              <w:rPr>
                <w:rFonts w:ascii="Times New Roman" w:hAnsi="Times New Roman"/>
                <w:b/>
                <w:color w:val="FFFFFF"/>
                <w:sz w:val="18"/>
              </w:rPr>
              <w:t>Scheme</w:t>
            </w:r>
          </w:p>
        </w:tc>
        <w:tc>
          <w:tcPr>
            <w:tcW w:type="dxa" w:w="1728"/>
            <w:shd w:val="clear" w:color="auto" w:fill="1E3A8A"/>
            <w:tcMar>
              <w:top w:w="120" w:type="dxa"/>
              <w:bottom w:w="120" w:type="dxa"/>
              <w:left w:w="140" w:type="dxa"/>
              <w:right w:w="140" w:type="dxa"/>
            </w:tcMar>
          </w:tcPr>
          <w:p>
            <w:pPr>
              <w:jc w:val="center"/>
            </w:pPr>
            <w:r>
              <w:rPr>
                <w:rFonts w:ascii="Times New Roman" w:hAnsi="Times New Roman"/>
                <w:b/>
                <w:color w:val="FFFFFF"/>
                <w:sz w:val="18"/>
              </w:rPr>
              <w:t>Setup &amp; KeyGen</w:t>
            </w:r>
          </w:p>
        </w:tc>
        <w:tc>
          <w:tcPr>
            <w:tcW w:type="dxa" w:w="1728"/>
            <w:shd w:val="clear" w:color="auto" w:fill="1E3A8A"/>
            <w:tcMar>
              <w:top w:w="120" w:type="dxa"/>
              <w:bottom w:w="120" w:type="dxa"/>
              <w:left w:w="140" w:type="dxa"/>
              <w:right w:w="140" w:type="dxa"/>
            </w:tcMar>
          </w:tcPr>
          <w:p>
            <w:pPr>
              <w:jc w:val="center"/>
            </w:pPr>
            <w:r>
              <w:rPr>
                <w:rFonts w:ascii="Times New Roman" w:hAnsi="Times New Roman"/>
                <w:b/>
                <w:color w:val="FFFFFF"/>
                <w:sz w:val="18"/>
              </w:rPr>
              <w:t>Index Generation</w:t>
            </w:r>
          </w:p>
        </w:tc>
        <w:tc>
          <w:tcPr>
            <w:tcW w:type="dxa" w:w="1728"/>
            <w:shd w:val="clear" w:color="auto" w:fill="1E3A8A"/>
            <w:tcMar>
              <w:top w:w="120" w:type="dxa"/>
              <w:bottom w:w="120" w:type="dxa"/>
              <w:left w:w="140" w:type="dxa"/>
              <w:right w:w="140" w:type="dxa"/>
            </w:tcMar>
          </w:tcPr>
          <w:p>
            <w:pPr>
              <w:jc w:val="center"/>
            </w:pPr>
            <w:r>
              <w:rPr>
                <w:rFonts w:ascii="Times New Roman" w:hAnsi="Times New Roman"/>
                <w:b/>
                <w:color w:val="FFFFFF"/>
                <w:sz w:val="18"/>
              </w:rPr>
              <w:t>Single-Doc Addition</w:t>
            </w:r>
          </w:p>
        </w:tc>
        <w:tc>
          <w:tcPr>
            <w:tcW w:type="dxa" w:w="1728"/>
            <w:shd w:val="clear" w:color="auto" w:fill="1E3A8A"/>
            <w:tcMar>
              <w:top w:w="120" w:type="dxa"/>
              <w:bottom w:w="120" w:type="dxa"/>
              <w:left w:w="140" w:type="dxa"/>
              <w:right w:w="140" w:type="dxa"/>
            </w:tcMar>
          </w:tcPr>
          <w:p>
            <w:pPr>
              <w:jc w:val="center"/>
            </w:pPr>
            <w:r>
              <w:rPr>
                <w:rFonts w:ascii="Times New Roman" w:hAnsi="Times New Roman"/>
                <w:b/>
                <w:color w:val="FFFFFF"/>
                <w:sz w:val="18"/>
              </w:rPr>
              <w:t>Single-Doc Deletion</w:t>
            </w:r>
          </w:p>
        </w:tc>
        <w:tc>
          <w:tcPr>
            <w:tcW w:type="dxa" w:w="1440"/>
            <w:shd w:val="clear" w:color="auto" w:fill="1E3A8A"/>
            <w:tcMar>
              <w:top w:w="120" w:type="dxa"/>
              <w:bottom w:w="120" w:type="dxa"/>
              <w:left w:w="140" w:type="dxa"/>
              <w:right w:w="140" w:type="dxa"/>
            </w:tcMar>
          </w:tcPr>
          <w:p>
            <w:pPr>
              <w:jc w:val="center"/>
            </w:pPr>
            <w:r>
              <w:rPr>
                <w:rFonts w:ascii="Times New Roman" w:hAnsi="Times New Roman"/>
                <w:b/>
                <w:color w:val="FFFFFF"/>
                <w:sz w:val="18"/>
              </w:rPr>
              <w:t>Conjunctive Search</w:t>
            </w:r>
          </w:p>
        </w:tc>
      </w:tr>
      <w:tr>
        <w:tc>
          <w:tcPr>
            <w:tcW w:type="dxa" w:w="1728"/>
            <w:shd w:val="clear" w:color="auto" w:fill="FFFFFF"/>
            <w:tcMar>
              <w:top w:w="80" w:type="dxa"/>
              <w:bottom w:w="80" w:type="dxa"/>
              <w:left w:w="100" w:type="dxa"/>
              <w:right w:w="100" w:type="dxa"/>
            </w:tcMar>
          </w:tcPr>
          <w:p>
            <w:pPr>
              <w:jc w:val="left"/>
            </w:pPr>
            <w:r>
              <w:rPr>
                <w:rFonts w:ascii="Times New Roman" w:hAnsi="Times New Roman"/>
                <w:color w:val="1E293B"/>
                <w:sz w:val="17"/>
              </w:rPr>
              <w:t>VABKS [6]</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O(|U|)</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O(L * m)</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O(L * m) Rebuild</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O(L * m) Re-encrypt</w:t>
            </w:r>
          </w:p>
        </w:tc>
        <w:tc>
          <w:tcPr>
            <w:tcW w:type="dxa" w:w="1440"/>
            <w:shd w:val="clear" w:color="auto" w:fill="FFFFFF"/>
            <w:tcMar>
              <w:top w:w="80" w:type="dxa"/>
              <w:bottom w:w="80" w:type="dxa"/>
              <w:left w:w="100" w:type="dxa"/>
              <w:right w:w="100" w:type="dxa"/>
            </w:tcMar>
          </w:tcPr>
          <w:p>
            <w:pPr>
              <w:jc w:val="center"/>
            </w:pPr>
            <w:r>
              <w:rPr>
                <w:rFonts w:ascii="Times New Roman" w:hAnsi="Times New Roman"/>
                <w:color w:val="1E293B"/>
                <w:sz w:val="17"/>
              </w:rPr>
              <w:t>O(q * |Matched|)</w:t>
            </w:r>
          </w:p>
        </w:tc>
      </w:tr>
      <w:tr>
        <w:tc>
          <w:tcPr>
            <w:tcW w:type="dxa" w:w="1728"/>
            <w:shd w:val="clear" w:color="auto" w:fill="F8FAFC"/>
            <w:tcMar>
              <w:top w:w="80" w:type="dxa"/>
              <w:bottom w:w="80" w:type="dxa"/>
              <w:left w:w="100" w:type="dxa"/>
              <w:right w:w="100" w:type="dxa"/>
            </w:tcMar>
          </w:tcPr>
          <w:p>
            <w:pPr>
              <w:jc w:val="left"/>
            </w:pPr>
            <w:r>
              <w:rPr>
                <w:rFonts w:ascii="Times New Roman" w:hAnsi="Times New Roman"/>
                <w:color w:val="1E293B"/>
                <w:sz w:val="17"/>
              </w:rPr>
              <w:t>EMK-ABSE [17]</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O(|U|)</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O(L * m)</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O(L * m) Rebuild</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Unsupported</w:t>
            </w:r>
          </w:p>
        </w:tc>
        <w:tc>
          <w:tcPr>
            <w:tcW w:type="dxa" w:w="1440"/>
            <w:shd w:val="clear" w:color="auto" w:fill="F8FAFC"/>
            <w:tcMar>
              <w:top w:w="80" w:type="dxa"/>
              <w:bottom w:w="80" w:type="dxa"/>
              <w:left w:w="100" w:type="dxa"/>
              <w:right w:w="100" w:type="dxa"/>
            </w:tcMar>
          </w:tcPr>
          <w:p>
            <w:pPr>
              <w:jc w:val="center"/>
            </w:pPr>
            <w:r>
              <w:rPr>
                <w:rFonts w:ascii="Times New Roman" w:hAnsi="Times New Roman"/>
                <w:color w:val="1E293B"/>
                <w:sz w:val="17"/>
              </w:rPr>
              <w:t>O(q * |Matched|)</w:t>
            </w:r>
          </w:p>
        </w:tc>
      </w:tr>
      <w:tr>
        <w:tc>
          <w:tcPr>
            <w:tcW w:type="dxa" w:w="1728"/>
            <w:shd w:val="clear" w:color="auto" w:fill="FFFFFF"/>
            <w:tcMar>
              <w:top w:w="80" w:type="dxa"/>
              <w:bottom w:w="80" w:type="dxa"/>
              <w:left w:w="100" w:type="dxa"/>
              <w:right w:w="100" w:type="dxa"/>
            </w:tcMar>
          </w:tcPr>
          <w:p>
            <w:pPr>
              <w:jc w:val="left"/>
            </w:pPr>
            <w:r>
              <w:rPr>
                <w:rFonts w:ascii="Times New Roman" w:hAnsi="Times New Roman"/>
                <w:color w:val="1E293B"/>
                <w:sz w:val="17"/>
              </w:rPr>
              <w:t>BA-RMKABSE [18]</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O(|U|)</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O(L * m)</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O(m) Partial</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Unsupported</w:t>
            </w:r>
          </w:p>
        </w:tc>
        <w:tc>
          <w:tcPr>
            <w:tcW w:type="dxa" w:w="1440"/>
            <w:shd w:val="clear" w:color="auto" w:fill="FFFFFF"/>
            <w:tcMar>
              <w:top w:w="80" w:type="dxa"/>
              <w:bottom w:w="80" w:type="dxa"/>
              <w:left w:w="100" w:type="dxa"/>
              <w:right w:w="100" w:type="dxa"/>
            </w:tcMar>
          </w:tcPr>
          <w:p>
            <w:pPr>
              <w:jc w:val="center"/>
            </w:pPr>
            <w:r>
              <w:rPr>
                <w:rFonts w:ascii="Times New Roman" w:hAnsi="Times New Roman"/>
                <w:color w:val="1E293B"/>
                <w:sz w:val="17"/>
              </w:rPr>
              <w:t>O(q * |Matched|)</w:t>
            </w:r>
          </w:p>
        </w:tc>
      </w:tr>
      <w:tr>
        <w:tc>
          <w:tcPr>
            <w:tcW w:type="dxa" w:w="1728"/>
            <w:shd w:val="clear" w:color="auto" w:fill="F8FAFC"/>
            <w:tcMar>
              <w:top w:w="80" w:type="dxa"/>
              <w:bottom w:w="80" w:type="dxa"/>
              <w:left w:w="100" w:type="dxa"/>
              <w:right w:w="100" w:type="dxa"/>
            </w:tcMar>
          </w:tcPr>
          <w:p>
            <w:pPr>
              <w:jc w:val="left"/>
            </w:pPr>
            <w:r>
              <w:rPr>
                <w:rFonts w:ascii="Times New Roman" w:hAnsi="Times New Roman"/>
                <w:color w:val="1E293B"/>
                <w:sz w:val="17"/>
              </w:rPr>
              <w:t>ABCKS [19]</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O(|U|)</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O(L * m)</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O(L * m) Version</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Unsupported</w:t>
            </w:r>
          </w:p>
        </w:tc>
        <w:tc>
          <w:tcPr>
            <w:tcW w:type="dxa" w:w="1440"/>
            <w:shd w:val="clear" w:color="auto" w:fill="F8FAFC"/>
            <w:tcMar>
              <w:top w:w="80" w:type="dxa"/>
              <w:bottom w:w="80" w:type="dxa"/>
              <w:left w:w="100" w:type="dxa"/>
              <w:right w:w="100" w:type="dxa"/>
            </w:tcMar>
          </w:tcPr>
          <w:p>
            <w:pPr>
              <w:jc w:val="center"/>
            </w:pPr>
            <w:r>
              <w:rPr>
                <w:rFonts w:ascii="Times New Roman" w:hAnsi="Times New Roman"/>
                <w:color w:val="1E293B"/>
                <w:sz w:val="17"/>
              </w:rPr>
              <w:t>O(q * |Matched|)</w:t>
            </w:r>
          </w:p>
        </w:tc>
      </w:tr>
      <w:tr>
        <w:tc>
          <w:tcPr>
            <w:tcW w:type="dxa" w:w="1728"/>
            <w:shd w:val="clear" w:color="auto" w:fill="FFFFFF"/>
            <w:tcMar>
              <w:top w:w="80" w:type="dxa"/>
              <w:bottom w:w="80" w:type="dxa"/>
              <w:left w:w="100" w:type="dxa"/>
              <w:right w:w="100" w:type="dxa"/>
            </w:tcMar>
          </w:tcPr>
          <w:p>
            <w:pPr>
              <w:jc w:val="left"/>
            </w:pPr>
            <w:r>
              <w:rPr>
                <w:rFonts w:ascii="Times New Roman" w:hAnsi="Times New Roman"/>
                <w:color w:val="1E293B"/>
                <w:sz w:val="17"/>
              </w:rPr>
              <w:t>BAMKS [1]</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O(|U|)</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O(L * m)</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O(L * m) ModMult</w:t>
            </w:r>
          </w:p>
        </w:tc>
        <w:tc>
          <w:tcPr>
            <w:tcW w:type="dxa" w:w="1728"/>
            <w:shd w:val="clear" w:color="auto" w:fill="FFFFFF"/>
            <w:tcMar>
              <w:top w:w="80" w:type="dxa"/>
              <w:bottom w:w="80" w:type="dxa"/>
              <w:left w:w="100" w:type="dxa"/>
              <w:right w:w="100" w:type="dxa"/>
            </w:tcMar>
          </w:tcPr>
          <w:p>
            <w:pPr>
              <w:jc w:val="center"/>
            </w:pPr>
            <w:r>
              <w:rPr>
                <w:rFonts w:ascii="Times New Roman" w:hAnsi="Times New Roman"/>
                <w:color w:val="1E293B"/>
                <w:sz w:val="17"/>
              </w:rPr>
              <w:t>O(L * m) Assumed</w:t>
            </w:r>
          </w:p>
        </w:tc>
        <w:tc>
          <w:tcPr>
            <w:tcW w:type="dxa" w:w="1440"/>
            <w:shd w:val="clear" w:color="auto" w:fill="FFFFFF"/>
            <w:tcMar>
              <w:top w:w="80" w:type="dxa"/>
              <w:bottom w:w="80" w:type="dxa"/>
              <w:left w:w="100" w:type="dxa"/>
              <w:right w:w="100" w:type="dxa"/>
            </w:tcMar>
          </w:tcPr>
          <w:p>
            <w:pPr>
              <w:jc w:val="center"/>
            </w:pPr>
            <w:r>
              <w:rPr>
                <w:rFonts w:ascii="Times New Roman" w:hAnsi="Times New Roman"/>
                <w:color w:val="1E293B"/>
                <w:sz w:val="17"/>
              </w:rPr>
              <w:t>O(q * |Matched|)</w:t>
            </w:r>
          </w:p>
        </w:tc>
      </w:tr>
      <w:tr>
        <w:tc>
          <w:tcPr>
            <w:tcW w:type="dxa" w:w="1728"/>
            <w:shd w:val="clear" w:color="auto" w:fill="F8FAFC"/>
            <w:tcMar>
              <w:top w:w="80" w:type="dxa"/>
              <w:bottom w:w="80" w:type="dxa"/>
              <w:left w:w="100" w:type="dxa"/>
              <w:right w:w="100" w:type="dxa"/>
            </w:tcMar>
          </w:tcPr>
          <w:p>
            <w:pPr>
              <w:jc w:val="left"/>
            </w:pPr>
            <w:r>
              <w:rPr>
                <w:rFonts w:ascii="Times New Roman" w:hAnsi="Times New Roman"/>
                <w:color w:val="1E293B"/>
                <w:sz w:val="17"/>
              </w:rPr>
              <w:t>BAMKS-D (Ours)</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O(|U|)</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O(L * m)</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Strict O(m)</w:t>
            </w:r>
          </w:p>
        </w:tc>
        <w:tc>
          <w:tcPr>
            <w:tcW w:type="dxa" w:w="1728"/>
            <w:shd w:val="clear" w:color="auto" w:fill="F8FAFC"/>
            <w:tcMar>
              <w:top w:w="80" w:type="dxa"/>
              <w:bottom w:w="80" w:type="dxa"/>
              <w:left w:w="100" w:type="dxa"/>
              <w:right w:w="100" w:type="dxa"/>
            </w:tcMar>
          </w:tcPr>
          <w:p>
            <w:pPr>
              <w:jc w:val="center"/>
            </w:pPr>
            <w:r>
              <w:rPr>
                <w:rFonts w:ascii="Times New Roman" w:hAnsi="Times New Roman"/>
                <w:color w:val="1E293B"/>
                <w:sz w:val="17"/>
              </w:rPr>
              <w:t>Strict O(1) EVM</w:t>
            </w:r>
          </w:p>
        </w:tc>
        <w:tc>
          <w:tcPr>
            <w:tcW w:type="dxa" w:w="1440"/>
            <w:shd w:val="clear" w:color="auto" w:fill="F8FAFC"/>
            <w:tcMar>
              <w:top w:w="80" w:type="dxa"/>
              <w:bottom w:w="80" w:type="dxa"/>
              <w:left w:w="100" w:type="dxa"/>
              <w:right w:w="100" w:type="dxa"/>
            </w:tcMar>
          </w:tcPr>
          <w:p>
            <w:pPr>
              <w:jc w:val="center"/>
            </w:pPr>
            <w:r>
              <w:rPr>
                <w:rFonts w:ascii="Times New Roman" w:hAnsi="Times New Roman"/>
                <w:color w:val="1E293B"/>
                <w:sz w:val="17"/>
              </w:rPr>
              <w:t>O(q * |Matched|)</w:t>
            </w:r>
          </w:p>
        </w:tc>
      </w:tr>
    </w:tbl>
    <w:p>
      <w:pPr>
        <w:keepNext/>
        <w:spacing w:before="280" w:after="80"/>
      </w:pPr>
      <w:r>
        <w:rPr>
          <w:rFonts w:ascii="Times New Roman" w:hAnsi="Times New Roman"/>
          <w:b/>
          <w:color w:val="0F172A"/>
          <w:sz w:val="24"/>
        </w:rPr>
        <w:t>XII. CONCLUSION &amp; FUTURE WORK</w:t>
      </w:r>
    </w:p>
    <w:p>
      <w:pPr>
        <w:spacing w:before="0" w:after="100" w:line="276" w:lineRule="auto"/>
        <w:jc w:val="both"/>
      </w:pPr>
      <w:r>
        <w:rPr>
          <w:rFonts w:ascii="Times New Roman" w:hAnsi="Times New Roman"/>
          <w:b/>
          <w:color w:val="0F172A"/>
          <w:sz w:val="20"/>
        </w:rPr>
        <w:t xml:space="preserve">A. Research Summary &amp; Strategic Horizons: </w:t>
      </w:r>
      <w:r>
        <w:rPr>
          <w:rFonts w:ascii="Times New Roman" w:hAnsi="Times New Roman"/>
          <w:color w:val="1E293B"/>
          <w:sz w:val="20"/>
        </w:rPr>
        <w:t>In this work, we formulated, implemented, and empirically validated BAMKS-D, resolving the open research challenge posed in Section 8 of Cheng et al. [1]. By decoupling inverted keyword index ingestion, BAMKS-D achieves atomic single-document additions in strict O(m) time, demonstrating a 5.27x pure index speedup and a 5.46x full file addition speedup at L = 5,000 files over Cheng et al. Section 5.10 updates (and 724.0x over naive full re-encryption). Through direct Solidity mapping in deletedDocRegistry, single-document revocation executes in constant O(1) time (50,111 EVM opcode gas; 132,131 Sepolia receipt gas) with zero array traversal on the deletion path. The architecture was deployed and verified on the public Ethereum Sepolia Testnet (0x17b09aad051BcD92EcfF3F08d87B1b333287cB1F) and pinned to decentralized IPFS storage.</w:t>
        <w:br/>
        <w:br/>
        <w:t>Future research directions include: (1) integrating Type-III pairing cryptography over BN254 curves to eliminate modular exponentiation simulation; (2) incorporating hardware enclave execution (Intel SGX) to hide inverted index access patterns; and (3) deploying recursive zk-SNARKs to verify aggregated search proofs directly on-chain.</w:t>
      </w:r>
    </w:p>
    <w:p>
      <w:pPr>
        <w:keepNext/>
        <w:spacing w:before="280" w:after="80"/>
      </w:pPr>
      <w:r>
        <w:rPr>
          <w:rFonts w:ascii="Times New Roman" w:hAnsi="Times New Roman"/>
          <w:b/>
          <w:color w:val="0F172A"/>
          <w:sz w:val="24"/>
        </w:rPr>
        <w:t>XIII. DATA AND CODE AVAILABILITY</w:t>
      </w:r>
    </w:p>
    <w:p>
      <w:pPr>
        <w:spacing w:before="0" w:after="100" w:line="276" w:lineRule="auto"/>
        <w:jc w:val="both"/>
      </w:pPr>
      <w:r>
        <w:rPr>
          <w:rFonts w:ascii="Times New Roman" w:hAnsi="Times New Roman"/>
          <w:b/>
          <w:color w:val="0F172A"/>
          <w:sz w:val="20"/>
        </w:rPr>
        <w:t xml:space="preserve">A. Open Source Reproducibility: </w:t>
      </w:r>
      <w:r>
        <w:rPr>
          <w:rFonts w:ascii="Times New Roman" w:hAnsi="Times New Roman"/>
          <w:color w:val="1E293B"/>
          <w:sz w:val="20"/>
        </w:rPr>
        <w:t>All source code, Solidity contracts, deployment scripts, clinical EHR test suites, and benchmark datasets are publicly accessible on GitHub at https://github.com/Prashant8991/BAMKS.git under the open-source MIT License. The verified smart contract can be audited on Ethereum Sepolia Etherscan at address 0x17b09aad051BcD92EcfF3F08d87B1b333287cB1F.</w:t>
      </w:r>
    </w:p>
    <w:p>
      <w:pPr>
        <w:keepNext/>
        <w:spacing w:before="280" w:after="80"/>
      </w:pPr>
      <w:r>
        <w:rPr>
          <w:rFonts w:ascii="Times New Roman" w:hAnsi="Times New Roman"/>
          <w:b/>
          <w:color w:val="0F172A"/>
          <w:sz w:val="24"/>
        </w:rPr>
        <w:t>REFERENCES</w:t>
      </w:r>
    </w:p>
    <w:p>
      <w:pPr>
        <w:spacing w:before="0" w:after="60" w:line="276" w:lineRule="auto"/>
      </w:pPr>
      <w:r>
        <w:rPr>
          <w:rFonts w:ascii="Times New Roman" w:hAnsi="Times New Roman"/>
          <w:b/>
          <w:color w:val="1E3A8A"/>
          <w:sz w:val="17"/>
        </w:rPr>
        <w:t>[1] H. Cheng, S.-L. Lo, and J. Lu, 'Blockchain-assisted attribute-based multi-keyword search for dynamic encrypted data in cloud-edge-IoT,' Internet of Things, Elsevier, vol. 36, Art. no. 101838, 2026. DOI: 10.1016/j.iot.2025.101838. (BASE PAPER)</w:t>
      </w:r>
    </w:p>
    <w:p>
      <w:pPr>
        <w:spacing w:before="0" w:after="60" w:line="276" w:lineRule="auto"/>
      </w:pPr>
      <w:r>
        <w:rPr>
          <w:rFonts w:ascii="Times New Roman" w:hAnsi="Times New Roman"/>
          <w:color w:val="334155"/>
          <w:sz w:val="17"/>
        </w:rPr>
        <w:t>[2] P. Dhinakaran et al., 'Safeguarding healthcare web applications: Advanced methodologies for securing electronic health records,' in Proc. IEEE Secur. Priv. Workshops, 2025, pp. 112–119.</w:t>
      </w:r>
    </w:p>
    <w:p>
      <w:pPr>
        <w:spacing w:before="0" w:after="60" w:line="276" w:lineRule="auto"/>
      </w:pPr>
      <w:r>
        <w:rPr>
          <w:rFonts w:ascii="Times New Roman" w:hAnsi="Times New Roman"/>
          <w:color w:val="334155"/>
          <w:sz w:val="17"/>
        </w:rPr>
        <w:t>[3] J. Bethencourt, A. Sahai, and B. Waters, 'Ciphertext-policy attribute-based encryption,' in Proc. IEEE Symp. Secur. Priv. (S&amp;P), 2007, pp. 321–334.</w:t>
      </w:r>
    </w:p>
    <w:p>
      <w:pPr>
        <w:spacing w:before="0" w:after="60" w:line="276" w:lineRule="auto"/>
      </w:pPr>
      <w:r>
        <w:rPr>
          <w:rFonts w:ascii="Times New Roman" w:hAnsi="Times New Roman"/>
          <w:color w:val="334155"/>
          <w:sz w:val="17"/>
        </w:rPr>
        <w:t>[4] C. P. Schnorr, 'Efficient signature generation by smart cards,' J. Cryptol., vol. 4, no. 3, pp. 161–174, 1991.</w:t>
      </w:r>
    </w:p>
    <w:p>
      <w:pPr>
        <w:spacing w:before="0" w:after="60" w:line="276" w:lineRule="auto"/>
      </w:pPr>
      <w:r>
        <w:rPr>
          <w:rFonts w:ascii="Times New Roman" w:hAnsi="Times New Roman"/>
          <w:color w:val="334155"/>
          <w:sz w:val="17"/>
        </w:rPr>
        <w:t>[5] B. Waters, 'Ciphertext-policy attribute-based encryption: An expressive, efficient, and provably secure realization,' in Proc. Public Key Cryptogr. (PKC), LNCS vol. 6571, Springer, 2011, pp. 53–70.</w:t>
      </w:r>
    </w:p>
    <w:p>
      <w:pPr>
        <w:spacing w:before="0" w:after="60" w:line="276" w:lineRule="auto"/>
      </w:pPr>
      <w:r>
        <w:rPr>
          <w:rFonts w:ascii="Times New Roman" w:hAnsi="Times New Roman"/>
          <w:color w:val="334155"/>
          <w:sz w:val="17"/>
        </w:rPr>
        <w:t>[6] Q. Zheng, S. Xu, and G. Ateniese, 'VABKS: Verifiable attribute-based keyword search over outsourced encrypted data,' in Proc. IEEE INFOCOM, 2014, pp. 522–530.</w:t>
      </w:r>
    </w:p>
    <w:p>
      <w:pPr>
        <w:spacing w:before="0" w:after="60" w:line="276" w:lineRule="auto"/>
      </w:pPr>
      <w:r>
        <w:rPr>
          <w:rFonts w:ascii="Times New Roman" w:hAnsi="Times New Roman"/>
          <w:color w:val="334155"/>
          <w:sz w:val="17"/>
        </w:rPr>
        <w:t>[7] X. Liang, Y. Lu, and T. Peng, 'VMSE: Verifiable multi-user searchable encryption with dynamic keyword updating in cloud storage,' J. Inf. Secur. Appl., vol. 76, Art. no. 103518, 2023.</w:t>
      </w:r>
    </w:p>
    <w:p>
      <w:pPr>
        <w:spacing w:before="0" w:after="60" w:line="276" w:lineRule="auto"/>
      </w:pPr>
      <w:r>
        <w:rPr>
          <w:rFonts w:ascii="Times New Roman" w:hAnsi="Times New Roman"/>
          <w:color w:val="334155"/>
          <w:sz w:val="17"/>
        </w:rPr>
        <w:t>[8] D. X. Song, D. Wagner, and A. Perrig, 'Practical techniques for searches on encrypted data,' in Proc. IEEE Symp. Secur. Priv. (S&amp;P), 2000, pp. 44–55.</w:t>
      </w:r>
    </w:p>
    <w:p>
      <w:pPr>
        <w:spacing w:before="0" w:after="60" w:line="276" w:lineRule="auto"/>
      </w:pPr>
      <w:r>
        <w:rPr>
          <w:rFonts w:ascii="Times New Roman" w:hAnsi="Times New Roman"/>
          <w:color w:val="334155"/>
          <w:sz w:val="17"/>
        </w:rPr>
        <w:t>[9] R. Curtmola, J. Garay, S. Kamara, and R. Ostrovsky, 'Searchable symmetric encryption: Improved definitions and efficient constructions,' J. Comput. Secur., vol. 19, no. 5, pp. 895–934, 2011.</w:t>
      </w:r>
    </w:p>
    <w:p>
      <w:pPr>
        <w:spacing w:before="0" w:after="60" w:line="276" w:lineRule="auto"/>
      </w:pPr>
      <w:r>
        <w:rPr>
          <w:rFonts w:ascii="Times New Roman" w:hAnsi="Times New Roman"/>
          <w:color w:val="334155"/>
          <w:sz w:val="17"/>
        </w:rPr>
        <w:t>[10] S. Kamara, C. Papamanthou, and T. Roeder, 'Dynamic searchable symmetric encryption,' in Proc. ACM Conf. Comput. Commun. Secur. (CCS), 2012, pp. 965–976.</w:t>
      </w:r>
    </w:p>
    <w:p>
      <w:pPr>
        <w:spacing w:before="0" w:after="60" w:line="276" w:lineRule="auto"/>
      </w:pPr>
      <w:r>
        <w:rPr>
          <w:rFonts w:ascii="Times New Roman" w:hAnsi="Times New Roman"/>
          <w:color w:val="334155"/>
          <w:sz w:val="17"/>
        </w:rPr>
        <w:t>[11] R. Bost, 'Sophos: Forward secure searchable encryption,' in Proc. ACM Conf. Comput. Commun. Secur. (CCS), 2016, pp. 1143–1154.</w:t>
      </w:r>
    </w:p>
    <w:p>
      <w:pPr>
        <w:spacing w:before="0" w:after="60" w:line="276" w:lineRule="auto"/>
      </w:pPr>
      <w:r>
        <w:rPr>
          <w:rFonts w:ascii="Times New Roman" w:hAnsi="Times New Roman"/>
          <w:color w:val="334155"/>
          <w:sz w:val="17"/>
        </w:rPr>
        <w:t>[12] D. Boneh, G. Di Crescenzo, R. Ostrovsky, and G. Persiano, 'Public key encryption with keyword search,' in Proc. Eurocrypt, LNCS vol. 3027, Springer, 2004, pp. 506–522.</w:t>
      </w:r>
    </w:p>
    <w:p>
      <w:pPr>
        <w:spacing w:before="0" w:after="60" w:line="276" w:lineRule="auto"/>
      </w:pPr>
      <w:r>
        <w:rPr>
          <w:rFonts w:ascii="Times New Roman" w:hAnsi="Times New Roman"/>
          <w:color w:val="334155"/>
          <w:sz w:val="17"/>
        </w:rPr>
        <w:t>[13] M. Chase, 'Multi-authority attribute based encryption,' in Proc. Theory Cryptogr. Conf. (TCC), LNCS vol. 4392, Springer, 2007, pp. 515–534.</w:t>
      </w:r>
    </w:p>
    <w:p>
      <w:pPr>
        <w:spacing w:before="0" w:after="60" w:line="276" w:lineRule="auto"/>
      </w:pPr>
      <w:r>
        <w:rPr>
          <w:rFonts w:ascii="Times New Roman" w:hAnsi="Times New Roman"/>
          <w:color w:val="334155"/>
          <w:sz w:val="17"/>
        </w:rPr>
        <w:t>[14] A. Lewko and B. Waters, 'Decentralizing attribute-based encryption,' in Proc. Eurocrypt, LNCS vol. 6632, Springer, 2011, pp. 568–588.</w:t>
      </w:r>
    </w:p>
    <w:p>
      <w:pPr>
        <w:spacing w:before="0" w:after="60" w:line="276" w:lineRule="auto"/>
      </w:pPr>
      <w:r>
        <w:rPr>
          <w:rFonts w:ascii="Times New Roman" w:hAnsi="Times New Roman"/>
          <w:color w:val="334155"/>
          <w:sz w:val="17"/>
        </w:rPr>
        <w:t>[15] G. Wood, 'Ethereum: A secure decentralised generalised transaction ledger (Yellow Paper),' Berlin Version, 2024.</w:t>
      </w:r>
    </w:p>
    <w:p>
      <w:pPr>
        <w:spacing w:before="0" w:after="60" w:line="276" w:lineRule="auto"/>
      </w:pPr>
      <w:r>
        <w:rPr>
          <w:rFonts w:ascii="Times New Roman" w:hAnsi="Times New Roman"/>
          <w:color w:val="334155"/>
          <w:sz w:val="17"/>
        </w:rPr>
        <w:t>[16] J. Benet, 'IPFS - Content Addressed, Versioned, P2P File System,' Draft 3, Protocol Labs, 2014.</w:t>
      </w:r>
    </w:p>
    <w:p>
      <w:pPr>
        <w:spacing w:before="0" w:after="60" w:line="276" w:lineRule="auto"/>
      </w:pPr>
      <w:r>
        <w:rPr>
          <w:rFonts w:ascii="Times New Roman" w:hAnsi="Times New Roman"/>
          <w:color w:val="334155"/>
          <w:sz w:val="17"/>
        </w:rPr>
        <w:t>[17] Y. Liu, J. Zhang, and X. Chen, 'EMK-ABSE: Efficient multi-keyword attribute-based searchable encryption for cloud-edge IoT,' IEEE Internet Things J., vol. 9, no. 19, pp. 18650–18662, 2022.</w:t>
      </w:r>
    </w:p>
    <w:p>
      <w:pPr>
        <w:spacing w:before="0" w:after="60" w:line="276" w:lineRule="auto"/>
      </w:pPr>
      <w:r>
        <w:rPr>
          <w:rFonts w:ascii="Times New Roman" w:hAnsi="Times New Roman"/>
          <w:color w:val="334155"/>
          <w:sz w:val="17"/>
        </w:rPr>
        <w:t>[18] Y. Su, Y. Zhang, and Y. Mu, 'BA-RMKABSE: Blockchain-assisted revocable multi-keyword attribute-based searchable encryption,' Future Gener. Comput. Syst., vol. 132, pp. 299–309, 2022.</w:t>
      </w:r>
    </w:p>
    <w:p>
      <w:pPr>
        <w:spacing w:before="0" w:after="60" w:line="276" w:lineRule="auto"/>
      </w:pPr>
      <w:r>
        <w:rPr>
          <w:rFonts w:ascii="Times New Roman" w:hAnsi="Times New Roman"/>
          <w:color w:val="334155"/>
          <w:sz w:val="17"/>
        </w:rPr>
        <w:t>[19] K. Zhang, H. Wang, and Z. Guan, 'ABCKS: Attribute-based conjunctive keyword search with fairness over blockchain,' IEEE Trans. Serv. Comput., vol. 16, no. 6, pp. 4168–4182, 2023.</w:t>
      </w:r>
    </w:p>
    <w:p>
      <w:pPr>
        <w:spacing w:before="0" w:after="60" w:line="276" w:lineRule="auto"/>
      </w:pPr>
      <w:r>
        <w:rPr>
          <w:rFonts w:ascii="Times New Roman" w:hAnsi="Times New Roman"/>
          <w:color w:val="334155"/>
          <w:sz w:val="17"/>
        </w:rPr>
        <w:t>[20] V. Goyal, O. Pandey, A. Sahai, and B. Waters, 'Attribute-based encryption for fine-grained access control of encrypted data,' in Proc. ACM Conf. Comput. Commun. Secur. (CCS), 2006, pp. 89–98.</w:t>
      </w:r>
    </w:p>
    <w:p>
      <w:pPr>
        <w:spacing w:before="0" w:after="60" w:line="276" w:lineRule="auto"/>
      </w:pPr>
      <w:r>
        <w:rPr>
          <w:rFonts w:ascii="Times New Roman" w:hAnsi="Times New Roman"/>
          <w:color w:val="334155"/>
          <w:sz w:val="17"/>
        </w:rPr>
        <w:t>[21] R. Ostrovsky, A. Sahai, and B. Waters, 'Attribute-based encryption with non-monotonic access structures,' in Proc. ACM Conf. Comput. Commun. Secur. (CCS), 2007, pp. 195–203.</w:t>
      </w:r>
    </w:p>
    <w:p>
      <w:pPr>
        <w:spacing w:before="0" w:after="60" w:line="276" w:lineRule="auto"/>
      </w:pPr>
      <w:r>
        <w:rPr>
          <w:rFonts w:ascii="Times New Roman" w:hAnsi="Times New Roman"/>
          <w:color w:val="334155"/>
          <w:sz w:val="17"/>
        </w:rPr>
        <w:t>[22] J. Katz, A. Sahai, and B. Waters, 'Predicate encryption supporting disjunctions, polynomial equations, and inner products,' J. Cryptol., vol. 26, no. 2, pp. 191–224, 2013.</w:t>
      </w:r>
    </w:p>
    <w:p>
      <w:pPr>
        <w:spacing w:before="0" w:after="60" w:line="276" w:lineRule="auto"/>
      </w:pPr>
      <w:r>
        <w:rPr>
          <w:rFonts w:ascii="Times New Roman" w:hAnsi="Times New Roman"/>
          <w:color w:val="334155"/>
          <w:sz w:val="17"/>
        </w:rPr>
        <w:t>[23] C. Delerablée, 'Dynamic threshold public-key encryption and its applications,' in Proc. IEEE Symp. Inf. Theory (ISIT), 2007, pp. 211–215.</w:t>
      </w:r>
    </w:p>
    <w:p>
      <w:pPr>
        <w:spacing w:before="0" w:after="60" w:line="276" w:lineRule="auto"/>
      </w:pPr>
      <w:r>
        <w:rPr>
          <w:rFonts w:ascii="Times New Roman" w:hAnsi="Times New Roman"/>
          <w:color w:val="334155"/>
          <w:sz w:val="17"/>
        </w:rPr>
        <w:t>[24] A. Sahai and B. Waters, 'Fuzzy identity-based encryption,' in Proc. Eurocrypt, LNCS vol. 3494, Springer, 2005, pp. 457–473.</w:t>
      </w:r>
    </w:p>
    <w:p>
      <w:pPr>
        <w:spacing w:before="0" w:after="60" w:line="276" w:lineRule="auto"/>
      </w:pPr>
      <w:r>
        <w:rPr>
          <w:rFonts w:ascii="Times New Roman" w:hAnsi="Times New Roman"/>
          <w:color w:val="334155"/>
          <w:sz w:val="17"/>
        </w:rPr>
        <w:t>[25] C. Gupta et al., 'Security challenges and solutions in healthcare IoT: A comprehensive survey,' IEEE Access, vol. 11, pp. 45210–45232, 2023.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