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Calibri" w:hAnsi="Calibri"/>
          <w:b/>
          <w:color w:val="7A5A00"/>
          <w:sz w:val="20"/>
        </w:rPr>
        <w:t>ANALYTICS PROJECT DOCUMENTATION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56"/>
        </w:rPr>
        <w:t>Customer Churn &amp;</w:t>
        <w:br/>
        <w:t>Retention Analysis</w:t>
      </w:r>
    </w:p>
    <w:p>
      <w:pPr>
        <w:spacing w:after="600"/>
        <w:jc w:val="center"/>
      </w:pPr>
      <w:r>
        <w:rPr>
          <w:rFonts w:ascii="Calibri" w:hAnsi="Calibri"/>
          <w:b w:val="0"/>
          <w:i/>
          <w:color w:val="5B6573"/>
          <w:sz w:val="28"/>
        </w:rPr>
        <w:t>A customer-level retention diagnostic and action framework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Dataset period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4 January 2023 - 29 December 2023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Customer base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48,723 unique customers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Prepared for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Portfolio / interview presentation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rPr>
          <w:rFonts w:ascii="Calibri" w:hAnsi="Calibri"/>
          <w:sz w:val="22"/>
        </w:rPr>
        <w:t>This project converts transaction-level activity into a customer-level retention view. It distinguishes between historically observed churn and current inactivity risk, then prioritizes customers for intervention using recency, frequency, and value signals.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Core finding:  </w:t>
            </w:r>
            <w:r>
              <w:rPr>
                <w:rFonts w:ascii="Calibri" w:hAnsi="Calibri"/>
                <w:sz w:val="21"/>
              </w:rPr>
              <w:t>Historical churn was low at 1.60% (780 of 48,723 customers), while 9,345 customers (19.18%) currently require attention because they are at risk, high risk, or inactive for 90+ days.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100"/>
        <w:gridCol w:w="48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Metric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Result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Interpretation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Total customers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48,723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Unique customer base after aggregation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Historical churned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780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Observed churn under the historical-window definition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Historical churn rate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1.60%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780 / 48,723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Retention rate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98.40%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47,943 retained customers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Customers needing attention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9,345 (19.18%)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At Risk, High Risk, or 90+ Days Inactive</w:t>
            </w:r>
          </w:p>
        </w:tc>
      </w:tr>
    </w:tbl>
    <w:p>
      <w:pPr>
        <w:spacing w:after="20"/>
      </w:pPr>
    </w:p>
    <w:p>
      <w:pPr>
        <w:pStyle w:val="Heading1"/>
      </w:pPr>
      <w:r>
        <w:t>Project Overview</w:t>
      </w:r>
    </w:p>
    <w:p>
      <w:r>
        <w:rPr>
          <w:rFonts w:ascii="Calibri" w:hAnsi="Calibri"/>
          <w:sz w:val="22"/>
        </w:rPr>
        <w:t>The analysis was designed to answer a practical retention question: which customers are already lost, which customers show early warning signs, and where should the business focus its retention effort first? Rather than relying on a single churn flag, the project combines observed behavior with a current-state risk view.</w:t>
      </w:r>
    </w:p>
    <w:p>
      <w:pPr>
        <w:pStyle w:val="Heading2"/>
      </w:pPr>
      <w:r>
        <w:t>Objectives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Create a clean, reliable customer-level analytical dataset from raw transactions.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Measure historical churn and retention using a clear observation window.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Identify current inactivity risk through recency-based status bands.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Segment customers by engagement frequency and economic value.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Prioritize retention actions toward customers with both risk and value.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Present insights in an interactive Power BI dashboard for business use.</w:t>
      </w:r>
    </w:p>
    <w:p>
      <w:pPr>
        <w:pStyle w:val="Heading1"/>
      </w:pPr>
      <w:r>
        <w:t>Dataset Details</w:t>
      </w:r>
    </w:p>
    <w:p>
      <w:r>
        <w:rPr>
          <w:rFonts w:ascii="Calibri" w:hAnsi="Calibri"/>
          <w:sz w:val="22"/>
        </w:rPr>
        <w:t>Dataset name: COFINFAD dataset.</w:t>
      </w:r>
    </w:p>
    <w:p>
      <w:r>
        <w:rPr>
          <w:rFonts w:ascii="Calibri" w:hAnsi="Calibri"/>
          <w:sz w:val="22"/>
        </w:rPr>
        <w:t>Dataset subject: anonymized customer-level financial transaction activity. The data records customer transactions such as deposits, payments, transfers, and withdrawals; it is therefore suitable for analyzing transaction behavior, customer activity, disengagement risk, and retention opportunity.</w:t>
      </w:r>
    </w:p>
    <w:p>
      <w:r>
        <w:rPr>
          <w:rFonts w:ascii="Calibri" w:hAnsi="Calibri"/>
          <w:sz w:val="22"/>
        </w:rPr>
        <w:t>Dataset origin: COFINFAD dataset, used as the external raw-data input for this project. The original publisher/platform and download URL should be added here when available; this report does not claim an unverified source.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Dataset attribute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Description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Dataset type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Anonymized financial customer transaction dataset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Granularity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One row per transaction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Primary analytical purpose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Customer churn, inactivity-risk, retention, frequency and value analysis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Transaction categories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Deposit, Payment, Transfer and Withdrawal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Raw data scope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3,159,157 transactions; 48,723 unique customers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Observed period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4 January 2023 to 29 December 2023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>The source data contains 3,159,157 transaction records spanning 4 January 2023 through 29 December 2023. Each record represents a customer transaction and includes the following fields.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Field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Description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Analytical use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customer_id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Unique customer identifier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Customer aggregation and deduplication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Transaction date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Recency, tenure, churn-window logic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amount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Transaction amount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Spend, value and average order metrics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type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Transaction type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Available descriptive transaction attribute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Unit of analysis:  </w:t>
            </w:r>
            <w:r>
              <w:rPr>
                <w:rFonts w:ascii="Calibri" w:hAnsi="Calibri"/>
                <w:sz w:val="21"/>
              </w:rPr>
              <w:t>The raw dataset is transaction-level. The final retention dataset is customer-level: one row per unique customer.</w:t>
            </w:r>
          </w:p>
        </w:tc>
      </w:tr>
    </w:tbl>
    <w:p>
      <w:pPr>
        <w:spacing w:after="40"/>
      </w:pPr>
    </w:p>
    <w:p>
      <w:pPr>
        <w:pStyle w:val="Heading1"/>
      </w:pPr>
      <w:r>
        <w:t>Data Cleaning and Quality Checks</w:t>
      </w:r>
    </w:p>
    <w:p>
      <w:r>
        <w:rPr>
          <w:rFonts w:ascii="Calibri" w:hAnsi="Calibri"/>
          <w:sz w:val="22"/>
        </w:rPr>
        <w:t>The preparation process focused on making dates, identifiers, and transaction values dependable before any customer-level KPI was calculated.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Converted the transaction date field to a date/datetime format and validated the observed date range.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Checked missing values and data types across the source fields.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Checked duplicate transaction records and duplicate customer IDs in the final customer table.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Validated that the customer-level dataset contains 48,723 unique customers with 0 duplicate customer IDs.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Reviewed transaction dates to confirm they support the defined historical churn and current-recency windows.</w:t>
      </w:r>
    </w:p>
    <w:p>
      <w:pPr>
        <w:pStyle w:val="Heading1"/>
      </w:pPr>
      <w:r>
        <w:t>Customer-Level Feature Engineering</w:t>
      </w:r>
    </w:p>
    <w:p>
      <w:r>
        <w:rPr>
          <w:rFonts w:ascii="Calibri" w:hAnsi="Calibri"/>
          <w:sz w:val="22"/>
        </w:rPr>
        <w:t>Transactions were grouped by customer_id to derive a single customer profile. This creates a reusable analytical layer for dashboarding, segmentation, and future predictive modeling.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3550"/>
        <w:gridCol w:w="3460"/>
      </w:tblGrid>
      <w:tr>
        <w:trPr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Feature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Definition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Purpose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first_tx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Earliest transaction date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Customer start point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last_tx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Most recent transaction date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Current activity and churn logic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transaction_count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Number of transactions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Engagement frequency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customer_tenure_days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last_tx - first_tx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Relationship duration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avg_days_between_transactions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Average interval between transactions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Purchase cadence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recency_days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29 Dec 2023 - last_tx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Current inactivity signal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total_spend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Sum of transaction amount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Customer value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avg_transaction_value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total_spend / transaction_count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Spend intensity</w:t>
            </w:r>
          </w:p>
        </w:tc>
      </w:tr>
    </w:tbl>
    <w:p>
      <w:pPr>
        <w:spacing w:after="20"/>
      </w:pPr>
    </w:p>
    <w:p>
      <w:pPr>
        <w:pStyle w:val="Heading1"/>
      </w:pPr>
      <w:r>
        <w:t>Churn and Inactivity Definitions</w:t>
      </w:r>
    </w:p>
    <w:p>
      <w:r>
        <w:rPr>
          <w:rFonts w:ascii="Calibri" w:hAnsi="Calibri"/>
          <w:sz w:val="22"/>
        </w:rPr>
        <w:t>Two separate definitions are used because they answer different business questions. They should be reported side by side, not merged into one metric.</w:t>
      </w:r>
    </w:p>
    <w:p>
      <w:pPr>
        <w:pStyle w:val="Heading2"/>
      </w:pPr>
      <w:r>
        <w:t>1. Historical Observed Churn</w:t>
      </w:r>
    </w:p>
    <w:p>
      <w:r>
        <w:rPr>
          <w:rFonts w:ascii="Calibri" w:hAnsi="Calibri"/>
          <w:sz w:val="22"/>
        </w:rPr>
        <w:t>Reference date: 30 September 2023. A customer is classified as historically churned when they had transaction activity before 30 September 2023 but no transaction between 1 October and 29 December 2023.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2600"/>
        <w:gridCol w:w="2760"/>
      </w:tblGrid>
      <w:tr>
        <w:trPr>
          <w:tblHeader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Historical outcome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Customers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Share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Churned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780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1.60%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Retained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47,943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98.40%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48,723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100.00%</w:t>
            </w:r>
          </w:p>
        </w:tc>
      </w:tr>
    </w:tbl>
    <w:p>
      <w:pPr>
        <w:spacing w:after="20"/>
      </w:pPr>
    </w:p>
    <w:p>
      <w:pPr>
        <w:pStyle w:val="Heading2"/>
      </w:pPr>
      <w:r>
        <w:t>2. Current 90+ Days Inactive</w:t>
      </w:r>
    </w:p>
    <w:p>
      <w:r>
        <w:rPr>
          <w:rFonts w:ascii="Calibri" w:hAnsi="Calibri"/>
          <w:sz w:val="22"/>
        </w:rPr>
        <w:t>Current inactivity is measured from recency_days, using 29 December 2023 as the analysis endpoint. Customers with no activity for 90+ days are classified as inactive. This is a current status signal, not proof of historical churn.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Important distinction:  </w:t>
            </w:r>
            <w:r>
              <w:rPr>
                <w:rFonts w:ascii="Calibri" w:hAnsi="Calibri"/>
                <w:sz w:val="21"/>
              </w:rPr>
              <w:t>A customer can be historically retained yet currently at risk or inactive. Historical churn measures an observed past outcome; recency status measures the present likelihood of disengagement.</w:t>
            </w:r>
          </w:p>
        </w:tc>
      </w:tr>
    </w:tbl>
    <w:p>
      <w:pPr>
        <w:spacing w:after="40"/>
      </w:pPr>
    </w:p>
    <w:p>
      <w:pPr>
        <w:pStyle w:val="Heading1"/>
      </w:pPr>
      <w:r>
        <w:t>Recency, Frequency and Value Segmentation</w:t>
      </w:r>
    </w:p>
    <w:p>
      <w:pPr>
        <w:pStyle w:val="Heading2"/>
      </w:pPr>
      <w:r>
        <w:t>Recency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200"/>
        <w:gridCol w:w="2400"/>
        <w:gridCol w:w="27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Status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Recency rule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Customers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Share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Active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0-30 days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39,378</w:t>
            </w:r>
          </w:p>
        </w:tc>
        <w:tc>
          <w:tcPr>
            <w:tcW w:type="dxa" w:w="271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80.82%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At Risk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31-60 days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6,696</w:t>
            </w:r>
          </w:p>
        </w:tc>
        <w:tc>
          <w:tcPr>
            <w:tcW w:type="dxa" w:w="271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13.74%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High Risk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61-90 days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1,896</w:t>
            </w:r>
          </w:p>
        </w:tc>
        <w:tc>
          <w:tcPr>
            <w:tcW w:type="dxa" w:w="271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3.89%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90+ Days Inactive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90+ days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753</w:t>
            </w:r>
          </w:p>
        </w:tc>
        <w:tc>
          <w:tcPr>
            <w:tcW w:type="dxa" w:w="271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1.55%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Total needing attention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31+ days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9,345</w:t>
            </w:r>
          </w:p>
        </w:tc>
        <w:tc>
          <w:tcPr>
            <w:tcW w:type="dxa" w:w="271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19.18%</w:t>
            </w:r>
          </w:p>
        </w:tc>
      </w:tr>
    </w:tbl>
    <w:p>
      <w:pPr>
        <w:spacing w:after="20"/>
      </w:pPr>
    </w:p>
    <w:p>
      <w:pPr>
        <w:pStyle w:val="Heading2"/>
      </w:pPr>
      <w:r>
        <w:t>Frequency and Value</w:t>
      </w:r>
    </w:p>
    <w:p>
      <w:r>
        <w:rPr>
          <w:rFonts w:ascii="Calibri" w:hAnsi="Calibri"/>
          <w:sz w:val="22"/>
        </w:rPr>
        <w:t>Frequency segmentation uses transaction_count to differentiate low, medium, and high engagement. Value segmentation uses total_spend to distinguish low, high, and very high value customers. These categories make recency action-oriented: the business can reserve the strongest intervention for customers who are both valuable and showing declining activity.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100"/>
        <w:gridCol w:w="39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Dimension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Representative metric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Business question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Frequency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transaction_count / purchase cadence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How regularly does the customer engage?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Value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total_spend / avg_transaction_value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How much economic value does the customer represent?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Recency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days since last transaction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How urgently should we intervene?</w:t>
            </w:r>
          </w:p>
        </w:tc>
      </w:tr>
    </w:tbl>
    <w:p>
      <w:pPr>
        <w:spacing w:after="20"/>
      </w:pPr>
    </w:p>
    <w:p>
      <w:pPr>
        <w:pStyle w:val="Heading1"/>
      </w:pPr>
      <w:r>
        <w:t>Retention Priority Framework</w:t>
      </w:r>
    </w:p>
    <w:p>
      <w:r>
        <w:rPr>
          <w:rFonts w:ascii="Calibri" w:hAnsi="Calibri"/>
          <w:sz w:val="22"/>
        </w:rPr>
        <w:t>Retention priority is driven by the intersection of current risk and customer value. The most actionable group is not necessarily the oldest inactive group; it is often the at-risk customer who is still reachable before becoming high risk.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660"/>
        <w:gridCol w:w="425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Priority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Customer group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Recommended response</w:t>
            </w:r>
          </w:p>
        </w:tc>
      </w:tr>
      <w:tr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P1 - Immediate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High / Very High Value + High Risk or 90+ inactive</w:t>
            </w:r>
          </w:p>
        </w:tc>
        <w:tc>
          <w:tcPr>
            <w:tcW w:type="dxa" w:w="42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Personalized outreach, strong recovery offer, account-level follow-up</w:t>
            </w:r>
          </w:p>
        </w:tc>
      </w:tr>
      <w:tr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P2 - Preventive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High / Very High Value + At Risk</w:t>
            </w:r>
          </w:p>
        </w:tc>
        <w:tc>
          <w:tcPr>
            <w:tcW w:type="dxa" w:w="42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Personalized reminder and tailored re-engagement campaign</w:t>
            </w:r>
          </w:p>
        </w:tc>
      </w:tr>
      <w:tr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P3 - Scaled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Other At Risk customers</w:t>
            </w:r>
          </w:p>
        </w:tc>
        <w:tc>
          <w:tcPr>
            <w:tcW w:type="dxa" w:w="42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Automated nudges, relevant offer, response monitoring</w:t>
            </w:r>
          </w:p>
        </w:tc>
      </w:tr>
      <w:tr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P4 - Win-back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Low-value 90+ inactive</w:t>
            </w:r>
          </w:p>
        </w:tc>
        <w:tc>
          <w:tcPr>
            <w:tcW w:type="dxa" w:w="42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Low-cost reactivation test; limit spend if unresponsive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>Among at-risk customers, 1,567 were High Value and 727 were Very High Value, creating a P2 prevention pool of 2,294 high-potential customers.</w:t>
      </w:r>
    </w:p>
    <w:p>
      <w:pPr>
        <w:pStyle w:val="Heading1"/>
      </w:pPr>
      <w:r>
        <w:t>Power BI Dashboard Design</w:t>
      </w:r>
    </w:p>
    <w:p>
      <w:r>
        <w:rPr>
          <w:rFonts w:ascii="Calibri" w:hAnsi="Calibri"/>
          <w:sz w:val="22"/>
        </w:rPr>
        <w:t>The dashboard is intended to move from executive context to customer action. Pages can be filtered by recency band, frequency segment, value segment, and relevant transaction attributes.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100"/>
        <w:gridCol w:w="42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Dashboard page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Purpose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Suggested visuals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1. Executive Overview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Headline health and scale</w:t>
            </w:r>
          </w:p>
        </w:tc>
        <w:tc>
          <w:tcPr>
            <w:tcW w:type="dxa" w:w="421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KPI cards, churn/retention split, current-status distribution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2. Churn &amp; Retention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Separate historical outcome from current risk</w:t>
            </w:r>
          </w:p>
        </w:tc>
        <w:tc>
          <w:tcPr>
            <w:tcW w:type="dxa" w:w="421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Historical churn KPI, retention KPI, cohort/status comparisons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3. Customer Segmentation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Understand engagement and value mix</w:t>
            </w:r>
          </w:p>
        </w:tc>
        <w:tc>
          <w:tcPr>
            <w:tcW w:type="dxa" w:w="421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Recency x value matrix, frequency distribution, spend segments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4. Retention Priority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Turn analysis into an intervention list</w:t>
            </w:r>
          </w:p>
        </w:tc>
        <w:tc>
          <w:tcPr>
            <w:tcW w:type="dxa" w:w="421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Priority counts, high-value at-risk segment, customer drill-through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5. Customer Detail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Support case-level action</w:t>
            </w:r>
          </w:p>
        </w:tc>
        <w:tc>
          <w:tcPr>
            <w:tcW w:type="dxa" w:w="421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Customer profile, last activity, spend, frequency, priority label</w:t>
            </w:r>
          </w:p>
        </w:tc>
      </w:tr>
    </w:tbl>
    <w:p>
      <w:pPr>
        <w:spacing w:after="20"/>
      </w:pPr>
    </w:p>
    <w:p>
      <w:pPr>
        <w:pStyle w:val="Heading1"/>
      </w:pPr>
      <w:r>
        <w:t>Key Findings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The observed historical churn rate is 1.60%, indicating strong retention during the historical observation window.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Current risk is much larger than observed historical churn: 9,345 customers (19.18%) have been inactive for more than 30 days.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The largest immediate prevention opportunity is the 6,696-customer At Risk group (31-60 days since last transaction).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1,896 customers are High Risk (61-90 days) and 753 are already 90+ days inactive, making recovery urgency higher.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High-value customers require differentiated treatment: 2,294 At Risk customers are High Value or Very High Value.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The project’s decision value comes from prevention: intervene before customers progress from At Risk to High Risk or inactive.</w:t>
      </w:r>
    </w:p>
    <w:p>
      <w:pPr>
        <w:pStyle w:val="Heading1"/>
      </w:pPr>
      <w:r>
        <w:t>Business Recommendations</w:t>
      </w:r>
    </w:p>
    <w:p>
      <w:pPr>
        <w:pStyle w:val="Heading2"/>
      </w:pPr>
      <w:r>
        <w:t>1. Intervene early in the 31-60 day window</w:t>
      </w:r>
    </w:p>
    <w:p>
      <w:r>
        <w:rPr>
          <w:rFonts w:ascii="Calibri" w:hAnsi="Calibri"/>
          <w:sz w:val="22"/>
        </w:rPr>
        <w:t>Build an automated progression: reminder, personalized offer, and follow-up based on response. This is the largest risk group and the best moment to prevent future churn.</w:t>
      </w:r>
    </w:p>
    <w:p>
      <w:pPr>
        <w:pStyle w:val="Heading2"/>
      </w:pPr>
      <w:r>
        <w:t>2. Protect high-value accounts</w:t>
      </w:r>
    </w:p>
    <w:p>
      <w:r>
        <w:rPr>
          <w:rFonts w:ascii="Calibri" w:hAnsi="Calibri"/>
          <w:sz w:val="22"/>
        </w:rPr>
        <w:t>Route High and Very High Value customers in At Risk or High Risk bands to stronger treatment, such as tailored incentives, account outreach, or priority support.</w:t>
      </w:r>
    </w:p>
    <w:p>
      <w:pPr>
        <w:pStyle w:val="Heading2"/>
      </w:pPr>
      <w:r>
        <w:t>3. Use staged win-back campaigns</w:t>
      </w:r>
    </w:p>
    <w:p>
      <w:r>
        <w:rPr>
          <w:rFonts w:ascii="Calibri" w:hAnsi="Calibri"/>
          <w:sz w:val="22"/>
        </w:rPr>
        <w:t>For 90+ days inactive customers, test cost-controlled win-back offers. Escalate investment only where historical value and response probability justify it.</w:t>
      </w:r>
    </w:p>
    <w:p>
      <w:pPr>
        <w:pStyle w:val="Heading2"/>
      </w:pPr>
      <w:r>
        <w:t>4. Measure campaign lift</w:t>
      </w:r>
    </w:p>
    <w:p>
      <w:r>
        <w:rPr>
          <w:rFonts w:ascii="Calibri" w:hAnsi="Calibri"/>
          <w:sz w:val="22"/>
        </w:rPr>
        <w:t>Track reactivation rate, incremental revenue, cost per retained customer, and movement between recency bands. Use control groups where possible to separate campaign impact from natural return behavior.</w:t>
      </w:r>
    </w:p>
    <w:p>
      <w:pPr>
        <w:pStyle w:val="Heading2"/>
      </w:pPr>
      <w:r>
        <w:t>5. Operationalize dashboard monitoring</w:t>
      </w:r>
    </w:p>
    <w:p>
      <w:r>
        <w:rPr>
          <w:rFonts w:ascii="Calibri" w:hAnsi="Calibri"/>
          <w:sz w:val="22"/>
        </w:rPr>
        <w:t>Refresh the dashboard regularly and establish a weekly retention review centered on P1 and P2 customers.</w:t>
      </w:r>
    </w:p>
    <w:p>
      <w:pPr>
        <w:pStyle w:val="Heading1"/>
      </w:pPr>
      <w:r>
        <w:t>Methodology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Profile raw transaction data and validate dates, identifiers, and values.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Aggregate transactions to one customer-level record per customer_id.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Derive behavioral features: tenure, recency, frequency, spend, and transaction value.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Apply the historical observed-churn definition using the 30 September reference date and Q4 observation window.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Apply the current recency status using the 29 December analysis endpoint.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Segment customers by recency, frequency, and value; assign priority based on risk x value.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Communicate results through KPI-led Power BI pages and action-oriented recommendations.</w:t>
      </w:r>
    </w:p>
    <w:p>
      <w:pPr>
        <w:pStyle w:val="Heading1"/>
      </w:pPr>
      <w:r>
        <w:t>Tools and Technologies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Tool / technology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Role in project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Data cleaning, transformation, customer-level feature engineering and validation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Pandas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Transaction aggregation, feature calculation and exploratory checks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Power BI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Interactive dashboarding, KPI reporting, segmentation and drill-through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DAX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Measures for customer counts, churn/retention rates and filtered KPI logic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Excel / CSV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Source data storage and project output interchange</w:t>
            </w:r>
          </w:p>
        </w:tc>
      </w:tr>
    </w:tbl>
    <w:p>
      <w:pPr>
        <w:spacing w:after="20"/>
      </w:pPr>
    </w:p>
    <w:p>
      <w:pPr>
        <w:pStyle w:val="Heading1"/>
      </w:pPr>
      <w:r>
        <w:t>Limitations and Assumptions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The dataset is transaction-only; demographic, channel, campaign, satisfaction, and product-level drivers are not available.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Observed historical churn is a rule-based outcome for a fixed window, not a contractual cancellation label.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90+ days inactive is a behavior-based status and should not be interpreted as confirmed churn without further business validation.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Frequency and value segment cutoffs should be documented and recalibrated when data distribution or business economics change.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The analysis describes risk and prioritization; it does not estimate causal campaign effects or individual churn probabilities.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The December endpoint means recent customers may have less observable tenure than earlier customers.</w:t>
      </w:r>
    </w:p>
    <w:p>
      <w:pPr>
        <w:pStyle w:val="Heading1"/>
      </w:pPr>
      <w:r>
        <w:t>Interview-Ready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30-second version:  </w:t>
            </w:r>
            <w:r>
              <w:rPr>
                <w:rFonts w:ascii="Calibri" w:hAnsi="Calibri"/>
                <w:sz w:val="21"/>
              </w:rPr>
              <w:t>I transformed 3.16 million transaction records into a 48,723-customer retention dataset and built a Power BI framework around two distinct signals: observed historical churn and current inactivity risk. Historical churn was only 1.60%, but 19.18% of customers had been inactive for more than 30 days. The key business recommendation was to prevent churn by targeting the 31-60 day At Risk segment, especially the 2,294 High and Very High Value customers.</w:t>
            </w:r>
          </w:p>
        </w:tc>
      </w:tr>
    </w:tbl>
    <w:p>
      <w:pPr>
        <w:spacing w:after="40"/>
      </w:pPr>
    </w:p>
    <w:p>
      <w:pPr>
        <w:pStyle w:val="Heading2"/>
      </w:pPr>
      <w:r>
        <w:t>How to explain the two churn measures</w:t>
      </w:r>
    </w:p>
    <w:p>
      <w:r>
        <w:rPr>
          <w:rFonts w:ascii="Calibri" w:hAnsi="Calibri"/>
          <w:sz w:val="22"/>
        </w:rPr>
        <w:t>“Historical churn is a backward-looking, observed outcome based on a fixed inactivity window after 30 September. Current 90+ days inactive is a forward-looking operational risk status based on recency at 29 December. I kept them separate because they support different decisions: evaluating retention performance versus prioritizing who needs outreach now.”</w:t>
      </w:r>
    </w:p>
    <w:p>
      <w:pPr>
        <w:pStyle w:val="Heading2"/>
      </w:pPr>
      <w:r>
        <w:t>Portfolio takeaway</w:t>
      </w:r>
    </w:p>
    <w:p>
      <w:r>
        <w:rPr>
          <w:rFonts w:ascii="Calibri" w:hAnsi="Calibri"/>
          <w:sz w:val="22"/>
        </w:rPr>
        <w:t>This project demonstrates an end-to-end analytics workflow: raw data validation, feature engineering, metric definition, business segmentation, dashboard design, and conversion of analysis into measurable retention actions.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Project Documentation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B6573"/>
        <w:sz w:val="18"/>
      </w:rPr>
      <w:t>Customer Churn &amp; Retention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Churn &amp; Retention Analysis - Project Documentation</dc:title>
  <dc:subject>Customer churn and retention analysis</dc:subject>
  <dc:creator>Customer Churn &amp; Retention Analysis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