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Shield Insurance Dashboard Guide</w:t>
      </w:r>
    </w:p>
    <w:p>
      <w:pPr>
        <w:spacing w:after="480"/>
      </w:pPr>
      <w:r>
        <w:rPr>
          <w:rFonts w:ascii="Aptos" w:hAnsi="Aptos"/>
          <w:color w:val="607386"/>
          <w:sz w:val="32"/>
        </w:rPr>
        <w:t>Handover guide for Mathew</w:t>
      </w:r>
    </w:p>
    <w:p>
      <w:pPr>
        <w:spacing w:after="140" w:line="269" w:lineRule="auto"/>
      </w:pPr>
      <w:r>
        <w:rPr>
          <w:rFonts w:ascii="Aptos" w:hAnsi="Aptos"/>
          <w:sz w:val="21"/>
        </w:rPr>
        <w:t>This guide explains how to use the Shield Insurance performance dashboard, what each page is designed to answer, and how to interpret its KPIs. Start on the Welcome page, then use Executive Insights for the business pulse and the remaining pages to investigate the drivers.</w:t>
      </w:r>
    </w:p>
    <w:p>
      <w:pPr>
        <w:pStyle w:val="Heading1"/>
        <w:spacing w:before="240" w:after="120"/>
      </w:pPr>
      <w:r>
        <w:rPr>
          <w:rFonts w:ascii="Aptos Display" w:hAnsi="Aptos Display"/>
          <w:color w:val="000000"/>
        </w:rPr>
        <w:t>What this dashboard answers</w:t>
      </w:r>
    </w:p>
    <w:tbl>
      <w:tblPr>
        <w:tblStyle w:val="TableGrid"/>
        <w:tblW w:type="auto" w:w="0"/>
        <w:jc w:val="center"/>
        <w:tblLook w:firstColumn="1" w:firstRow="1" w:lastColumn="0" w:lastRow="0" w:noHBand="0" w:noVBand="1" w:val="04A0"/>
      </w:tblPr>
      <w:tblGrid>
        <w:gridCol w:w="4968"/>
        <w:gridCol w:w="4968"/>
      </w:tblGrid>
      <w:tr>
        <w:tc>
          <w:tcPr>
            <w:tcW w:type="dxa" w:w="3888"/>
            <w:vAlign w:val="center"/>
            <w:tcBorders>
              <w:top w:val="single" w:sz="6" w:color="D9D9D9"/>
              <w:left w:val="single" w:sz="6" w:color="D9D9D9"/>
              <w:bottom w:val="single" w:sz="6" w:color="D9D9D9"/>
              <w:right w:val="single" w:sz="6" w:color="D9D9D9"/>
            </w:tcBorders>
            <w:shd w:fill="14202E"/>
          </w:tcPr>
          <w:p>
            <w:pPr>
              <w:spacing w:after="40"/>
            </w:pPr>
            <w:r/>
            <w:r>
              <w:rPr>
                <w:rFonts w:ascii="Aptos" w:hAnsi="Aptos"/>
                <w:b/>
                <w:color w:val="FFFFFF"/>
                <w:sz w:val="19"/>
              </w:rPr>
              <w:t>Question</w:t>
            </w:r>
          </w:p>
        </w:tc>
        <w:tc>
          <w:tcPr>
            <w:tcW w:type="dxa" w:w="5472"/>
            <w:vAlign w:val="center"/>
            <w:tcBorders>
              <w:top w:val="single" w:sz="6" w:color="D9D9D9"/>
              <w:left w:val="single" w:sz="6" w:color="D9D9D9"/>
              <w:bottom w:val="single" w:sz="6" w:color="D9D9D9"/>
              <w:right w:val="single" w:sz="6" w:color="D9D9D9"/>
            </w:tcBorders>
            <w:shd w:fill="14202E"/>
          </w:tcPr>
          <w:p>
            <w:pPr>
              <w:spacing w:after="40"/>
            </w:pPr>
            <w:r/>
            <w:r>
              <w:rPr>
                <w:rFonts w:ascii="Aptos" w:hAnsi="Aptos"/>
                <w:b/>
                <w:color w:val="FFFFFF"/>
                <w:sz w:val="19"/>
              </w:rPr>
              <w:t>Where to look</w:t>
            </w:r>
          </w:p>
        </w:tc>
      </w:tr>
      <w:tr>
        <w:tc>
          <w:tcPr>
            <w:tcW w:type="dxa" w:w="3888"/>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How is the portfolio performing overall?</w:t>
            </w:r>
          </w:p>
        </w:tc>
        <w:tc>
          <w:tcPr>
            <w:tcW w:type="dxa" w:w="5472"/>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Executive Insights and General View</w:t>
            </w:r>
          </w:p>
        </w:tc>
      </w:tr>
      <w:tr>
        <w:tc>
          <w:tcPr>
            <w:tcW w:type="dxa" w:w="3888"/>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Which channels are contributing most?</w:t>
            </w:r>
          </w:p>
        </w:tc>
        <w:tc>
          <w:tcPr>
            <w:tcW w:type="dxa" w:w="5472"/>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sales view</w:t>
            </w:r>
          </w:p>
        </w:tc>
      </w:tr>
      <w:tr>
        <w:tc>
          <w:tcPr>
            <w:tcW w:type="dxa" w:w="3888"/>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Which customer segments and policies need attention?</w:t>
            </w:r>
          </w:p>
        </w:tc>
        <w:tc>
          <w:tcPr>
            <w:tcW w:type="dxa" w:w="5472"/>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Age Group Analysis</w:t>
            </w:r>
          </w:p>
        </w:tc>
      </w:tr>
      <w:tr>
        <w:tc>
          <w:tcPr>
            <w:tcW w:type="dxa" w:w="3888"/>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How do results change over time?</w:t>
            </w:r>
          </w:p>
        </w:tc>
        <w:tc>
          <w:tcPr>
            <w:tcW w:type="dxa" w:w="5472"/>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Trend visuals and month filters on the analysis pages</w:t>
            </w:r>
          </w:p>
        </w:tc>
      </w:tr>
    </w:tbl>
    <w:p>
      <w:pPr>
        <w:spacing w:after="20"/>
      </w:pPr>
    </w:p>
    <w:p>
      <w:pPr>
        <w:pStyle w:val="Heading1"/>
        <w:spacing w:before="240" w:after="120"/>
      </w:pPr>
      <w:r>
        <w:rPr>
          <w:rFonts w:ascii="Aptos Display" w:hAnsi="Aptos Display"/>
          <w:color w:val="000000"/>
        </w:rPr>
        <w:t>How to get started</w:t>
      </w:r>
    </w:p>
    <w:p>
      <w:pPr>
        <w:pStyle w:val="ListBullet"/>
      </w:pPr>
      <w:r>
        <w:t>Open the PBIP project in Power BI Desktop and allow the model to load.</w:t>
      </w:r>
    </w:p>
    <w:p>
      <w:pPr>
        <w:pStyle w:val="ListBullet"/>
      </w:pPr>
      <w:r>
        <w:t>Begin with the Welcome page to understand the report flow.</w:t>
      </w:r>
    </w:p>
    <w:p>
      <w:pPr>
        <w:pStyle w:val="ListBullet"/>
      </w:pPr>
      <w:r>
        <w:t>Select a single month when you need last-month comparison values and percentage changes.</w:t>
      </w:r>
    </w:p>
    <w:p>
      <w:pPr>
        <w:pStyle w:val="ListBullet"/>
      </w:pPr>
      <w:r>
        <w:t>Use age group, sales mode and policy filters to narrow the view. Review the current selection before interpreting a KPI.</w:t>
      </w:r>
    </w:p>
    <w:p>
      <w:r>
        <w:br w:type="page"/>
      </w:r>
    </w:p>
    <w:p>
      <w:pPr>
        <w:pStyle w:val="Heading1"/>
        <w:spacing w:before="240" w:after="120"/>
      </w:pPr>
      <w:r>
        <w:rPr>
          <w:rFonts w:ascii="Aptos Display" w:hAnsi="Aptos Display"/>
          <w:color w:val="000000"/>
        </w:rPr>
        <w:t>Report Pages</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tcBorders>
              <w:top w:val="single" w:sz="6" w:color="D9D9D9"/>
              <w:left w:val="single" w:sz="6" w:color="D9D9D9"/>
              <w:bottom w:val="single" w:sz="6" w:color="D9D9D9"/>
              <w:right w:val="single" w:sz="6" w:color="D9D9D9"/>
            </w:tcBorders>
            <w:shd w:fill="14202E"/>
          </w:tcPr>
          <w:p>
            <w:pPr>
              <w:spacing w:after="40"/>
            </w:pPr>
            <w:r/>
            <w:r>
              <w:rPr>
                <w:rFonts w:ascii="Aptos" w:hAnsi="Aptos"/>
                <w:b/>
                <w:color w:val="FFFFFF"/>
                <w:sz w:val="19"/>
              </w:rPr>
              <w:t>Page</w:t>
            </w:r>
          </w:p>
        </w:tc>
        <w:tc>
          <w:tcPr>
            <w:tcW w:type="dxa" w:w="3960"/>
            <w:vAlign w:val="center"/>
            <w:tcBorders>
              <w:top w:val="single" w:sz="6" w:color="D9D9D9"/>
              <w:left w:val="single" w:sz="6" w:color="D9D9D9"/>
              <w:bottom w:val="single" w:sz="6" w:color="D9D9D9"/>
              <w:right w:val="single" w:sz="6" w:color="D9D9D9"/>
            </w:tcBorders>
            <w:shd w:fill="14202E"/>
          </w:tcPr>
          <w:p>
            <w:pPr>
              <w:spacing w:after="40"/>
            </w:pPr>
            <w:r/>
            <w:r>
              <w:rPr>
                <w:rFonts w:ascii="Aptos" w:hAnsi="Aptos"/>
                <w:b/>
                <w:color w:val="FFFFFF"/>
                <w:sz w:val="19"/>
              </w:rPr>
              <w:t>Purpose</w:t>
            </w:r>
          </w:p>
        </w:tc>
        <w:tc>
          <w:tcPr>
            <w:tcW w:type="dxa" w:w="3600"/>
            <w:vAlign w:val="center"/>
            <w:tcBorders>
              <w:top w:val="single" w:sz="6" w:color="D9D9D9"/>
              <w:left w:val="single" w:sz="6" w:color="D9D9D9"/>
              <w:bottom w:val="single" w:sz="6" w:color="D9D9D9"/>
              <w:right w:val="single" w:sz="6" w:color="D9D9D9"/>
            </w:tcBorders>
            <w:shd w:fill="14202E"/>
          </w:tcPr>
          <w:p>
            <w:pPr>
              <w:spacing w:after="40"/>
            </w:pPr>
            <w:r/>
            <w:r>
              <w:rPr>
                <w:rFonts w:ascii="Aptos" w:hAnsi="Aptos"/>
                <w:b/>
                <w:color w:val="FFFFFF"/>
                <w:sz w:val="19"/>
              </w:rPr>
              <w:t>What Mathew should do</w:t>
            </w:r>
          </w:p>
        </w:tc>
      </w:tr>
      <w:tr>
        <w:tc>
          <w:tcPr>
            <w:tcW w:type="dxa" w:w="180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Welcome</w:t>
            </w:r>
          </w:p>
        </w:tc>
        <w:tc>
          <w:tcPr>
            <w:tcW w:type="dxa" w:w="396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Entry page that explains the dashboard scope and navigation.</w:t>
            </w:r>
          </w:p>
        </w:tc>
        <w:tc>
          <w:tcPr>
            <w:tcW w:type="dxa" w:w="360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Use it as the starting point for new users.</w:t>
            </w:r>
          </w:p>
        </w:tc>
      </w:tr>
      <w:tr>
        <w:tc>
          <w:tcPr>
            <w:tcW w:type="dxa" w:w="1800"/>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Executive Insights</w:t>
            </w:r>
          </w:p>
        </w:tc>
        <w:tc>
          <w:tcPr>
            <w:tcW w:type="dxa" w:w="3960"/>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Concise management view of revenue, customers, policies and expected settlement exposure.</w:t>
            </w:r>
          </w:p>
        </w:tc>
        <w:tc>
          <w:tcPr>
            <w:tcW w:type="dxa" w:w="3600"/>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Check the four KPIs first, then move to detail pages when a result needs explanation.</w:t>
            </w:r>
          </w:p>
        </w:tc>
      </w:tr>
      <w:tr>
        <w:tc>
          <w:tcPr>
            <w:tcW w:type="dxa" w:w="180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General View</w:t>
            </w:r>
          </w:p>
        </w:tc>
        <w:tc>
          <w:tcPr>
            <w:tcW w:type="dxa" w:w="396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Cross-sectional overview of revenue, customers, cities, age groups and policy performance.</w:t>
            </w:r>
          </w:p>
        </w:tc>
        <w:tc>
          <w:tcPr>
            <w:tcW w:type="dxa" w:w="360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Use it to identify the segment, city or policy behind the headline results.</w:t>
            </w:r>
          </w:p>
        </w:tc>
      </w:tr>
      <w:tr>
        <w:tc>
          <w:tcPr>
            <w:tcW w:type="dxa" w:w="1800"/>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sales view</w:t>
            </w:r>
          </w:p>
        </w:tc>
        <w:tc>
          <w:tcPr>
            <w:tcW w:type="dxa" w:w="3960"/>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Channel-focused view of sales mode performance.</w:t>
            </w:r>
          </w:p>
        </w:tc>
        <w:tc>
          <w:tcPr>
            <w:tcW w:type="dxa" w:w="3600"/>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Compare sales modes to understand their relative contribution and customer reach.</w:t>
            </w:r>
          </w:p>
        </w:tc>
      </w:tr>
      <w:tr>
        <w:tc>
          <w:tcPr>
            <w:tcW w:type="dxa" w:w="180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Age Group Analysis</w:t>
            </w:r>
          </w:p>
        </w:tc>
        <w:tc>
          <w:tcPr>
            <w:tcW w:type="dxa" w:w="396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Customer demographic and policy-preference view with settlement context.</w:t>
            </w:r>
          </w:p>
        </w:tc>
        <w:tc>
          <w:tcPr>
            <w:tcW w:type="dxa" w:w="360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Use it to identify age segments that combine high activity with higher expected settlement exposure.</w:t>
            </w:r>
          </w:p>
        </w:tc>
      </w:tr>
    </w:tbl>
    <w:p>
      <w:pPr>
        <w:spacing w:after="20"/>
      </w:pPr>
    </w:p>
    <w:p>
      <w:pPr>
        <w:pStyle w:val="Heading1"/>
        <w:spacing w:before="240" w:after="120"/>
      </w:pPr>
      <w:r>
        <w:rPr>
          <w:rFonts w:ascii="Aptos Display" w:hAnsi="Aptos Display"/>
          <w:color w:val="000000"/>
        </w:rPr>
        <w:t>Filters and interactions</w:t>
      </w:r>
    </w:p>
    <w:p>
      <w:pPr>
        <w:spacing w:after="140" w:line="269" w:lineRule="auto"/>
      </w:pPr>
      <w:r>
        <w:rPr>
          <w:rFonts w:ascii="Aptos" w:hAnsi="Aptos"/>
          <w:sz w:val="21"/>
        </w:rPr>
        <w:t>The analysis pages use slicers to narrow the report. Common slicers include age group, sales mode and policy ID; the date selection drives time-based comparisons. A filter changes the context of every affected visual, so the KPI values are not necessarily portfolio totals after filtering.</w:t>
      </w:r>
    </w:p>
    <w:p>
      <w:pPr>
        <w:spacing w:after="140" w:line="269" w:lineRule="auto"/>
      </w:pPr>
      <w:r>
        <w:rPr>
          <w:rFonts w:ascii="Aptos" w:hAnsi="Aptos"/>
          <w:sz w:val="21"/>
        </w:rPr>
        <w:t>For last-month metrics, select exactly one month. If multiple months or no individual month is selected, the last-month and month-over-month measures can intentionally display blank or a dash because there is no single period to compare.</w:t>
      </w:r>
    </w:p>
    <w:p>
      <w:pPr>
        <w:spacing w:after="140" w:line="269" w:lineRule="auto"/>
      </w:pPr>
      <w:r>
        <w:rPr>
          <w:rFonts w:ascii="Aptos" w:hAnsi="Aptos"/>
          <w:sz w:val="21"/>
        </w:rPr>
        <w:t>Use the visual titles and legends to confirm whether you are looking at revenue, customers, policies or settlement rate. The trend control lets the overview trend switch between revenue and customers.</w:t>
      </w:r>
    </w:p>
    <w:p>
      <w:r>
        <w:br w:type="page"/>
      </w:r>
    </w:p>
    <w:p>
      <w:pPr>
        <w:pStyle w:val="Heading1"/>
        <w:spacing w:before="240" w:after="120"/>
      </w:pPr>
      <w:r>
        <w:rPr>
          <w:rFonts w:ascii="Aptos Display" w:hAnsi="Aptos Display"/>
          <w:color w:val="000000"/>
        </w:rPr>
        <w:t>KPI Definitions</w:t>
      </w:r>
    </w:p>
    <w:tbl>
      <w:tblPr>
        <w:tblStyle w:val="TableGrid"/>
        <w:tblW w:type="auto" w:w="0"/>
        <w:jc w:val="center"/>
        <w:tblLook w:firstColumn="1" w:firstRow="1" w:lastColumn="0" w:lastRow="0" w:noHBand="0" w:noVBand="1" w:val="04A0"/>
      </w:tblPr>
      <w:tblGrid>
        <w:gridCol w:w="3312"/>
        <w:gridCol w:w="3312"/>
        <w:gridCol w:w="3312"/>
      </w:tblGrid>
      <w:tr>
        <w:tc>
          <w:tcPr>
            <w:tcW w:type="dxa" w:w="2016"/>
            <w:vAlign w:val="center"/>
            <w:tcBorders>
              <w:top w:val="single" w:sz="6" w:color="D9D9D9"/>
              <w:left w:val="single" w:sz="6" w:color="D9D9D9"/>
              <w:bottom w:val="single" w:sz="6" w:color="D9D9D9"/>
              <w:right w:val="single" w:sz="6" w:color="D9D9D9"/>
            </w:tcBorders>
            <w:shd w:fill="14202E"/>
          </w:tcPr>
          <w:p>
            <w:pPr>
              <w:spacing w:after="40"/>
            </w:pPr>
            <w:r/>
            <w:r>
              <w:rPr>
                <w:rFonts w:ascii="Aptos" w:hAnsi="Aptos"/>
                <w:b/>
                <w:color w:val="FFFFFF"/>
                <w:sz w:val="19"/>
              </w:rPr>
              <w:t>KPI</w:t>
            </w:r>
          </w:p>
        </w:tc>
        <w:tc>
          <w:tcPr>
            <w:tcW w:type="dxa" w:w="4104"/>
            <w:vAlign w:val="center"/>
            <w:tcBorders>
              <w:top w:val="single" w:sz="6" w:color="D9D9D9"/>
              <w:left w:val="single" w:sz="6" w:color="D9D9D9"/>
              <w:bottom w:val="single" w:sz="6" w:color="D9D9D9"/>
              <w:right w:val="single" w:sz="6" w:color="D9D9D9"/>
            </w:tcBorders>
            <w:shd w:fill="14202E"/>
          </w:tcPr>
          <w:p>
            <w:pPr>
              <w:spacing w:after="40"/>
            </w:pPr>
            <w:r/>
            <w:r>
              <w:rPr>
                <w:rFonts w:ascii="Aptos" w:hAnsi="Aptos"/>
                <w:b/>
                <w:color w:val="FFFFFF"/>
                <w:sz w:val="19"/>
              </w:rPr>
              <w:t>Definition</w:t>
            </w:r>
          </w:p>
        </w:tc>
        <w:tc>
          <w:tcPr>
            <w:tcW w:type="dxa" w:w="3240"/>
            <w:vAlign w:val="center"/>
            <w:tcBorders>
              <w:top w:val="single" w:sz="6" w:color="D9D9D9"/>
              <w:left w:val="single" w:sz="6" w:color="D9D9D9"/>
              <w:bottom w:val="single" w:sz="6" w:color="D9D9D9"/>
              <w:right w:val="single" w:sz="6" w:color="D9D9D9"/>
            </w:tcBorders>
            <w:shd w:fill="14202E"/>
          </w:tcPr>
          <w:p>
            <w:pPr>
              <w:spacing w:after="40"/>
            </w:pPr>
            <w:r/>
            <w:r>
              <w:rPr>
                <w:rFonts w:ascii="Aptos" w:hAnsi="Aptos"/>
                <w:b/>
                <w:color w:val="FFFFFF"/>
                <w:sz w:val="19"/>
              </w:rPr>
              <w:t>Interpretation</w:t>
            </w:r>
          </w:p>
        </w:tc>
      </w:tr>
      <w:tr>
        <w:tc>
          <w:tcPr>
            <w:tcW w:type="dxa" w:w="2016"/>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Total Revenue</w:t>
            </w:r>
          </w:p>
        </w:tc>
        <w:tc>
          <w:tcPr>
            <w:tcW w:type="dxa" w:w="4104"/>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Sum of final premium amounts in INR for the selected filter context.</w:t>
            </w:r>
          </w:p>
        </w:tc>
        <w:tc>
          <w:tcPr>
            <w:tcW w:type="dxa" w:w="324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Primary measure of premium income. Compare across month, city, policy, age group or sales mode.</w:t>
            </w:r>
          </w:p>
        </w:tc>
      </w:tr>
      <w:tr>
        <w:tc>
          <w:tcPr>
            <w:tcW w:type="dxa" w:w="2016"/>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Total Customers</w:t>
            </w:r>
          </w:p>
        </w:tc>
        <w:tc>
          <w:tcPr>
            <w:tcW w:type="dxa" w:w="4104"/>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Distinct count of customer codes that bought a policy.</w:t>
            </w:r>
          </w:p>
        </w:tc>
        <w:tc>
          <w:tcPr>
            <w:tcW w:type="dxa" w:w="3240"/>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Measures customer reach, not policy volume. One customer may hold more than one policy.</w:t>
            </w:r>
          </w:p>
        </w:tc>
      </w:tr>
      <w:tr>
        <w:tc>
          <w:tcPr>
            <w:tcW w:type="dxa" w:w="2016"/>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Total Policies Sold</w:t>
            </w:r>
          </w:p>
        </w:tc>
        <w:tc>
          <w:tcPr>
            <w:tcW w:type="dxa" w:w="4104"/>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Count of premium transaction rows.</w:t>
            </w:r>
          </w:p>
        </w:tc>
        <w:tc>
          <w:tcPr>
            <w:tcW w:type="dxa" w:w="324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Measures policy volume. Compare with customers to understand whether customers are buying multiple policies.</w:t>
            </w:r>
          </w:p>
        </w:tc>
      </w:tr>
      <w:tr>
        <w:tc>
          <w:tcPr>
            <w:tcW w:type="dxa" w:w="2016"/>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Average Daily Revenue</w:t>
            </w:r>
          </w:p>
        </w:tc>
        <w:tc>
          <w:tcPr>
            <w:tcW w:type="dxa" w:w="4104"/>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Total Revenue divided by the number of selling days in the selected period.</w:t>
            </w:r>
          </w:p>
        </w:tc>
        <w:tc>
          <w:tcPr>
            <w:tcW w:type="dxa" w:w="3240"/>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Makes periods with different numbers of days more comparable.</w:t>
            </w:r>
          </w:p>
        </w:tc>
      </w:tr>
      <w:tr>
        <w:tc>
          <w:tcPr>
            <w:tcW w:type="dxa" w:w="2016"/>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Average Daily Customers</w:t>
            </w:r>
          </w:p>
        </w:tc>
        <w:tc>
          <w:tcPr>
            <w:tcW w:type="dxa" w:w="4104"/>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Total Customers divided by the number of selling days in the selected period.</w:t>
            </w:r>
          </w:p>
        </w:tc>
        <w:tc>
          <w:tcPr>
            <w:tcW w:type="dxa" w:w="324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Shows average daily customer acquisition pace.</w:t>
            </w:r>
          </w:p>
        </w:tc>
      </w:tr>
      <w:tr>
        <w:tc>
          <w:tcPr>
            <w:tcW w:type="dxa" w:w="2016"/>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Expected Settlement Percent</w:t>
            </w:r>
          </w:p>
        </w:tc>
        <w:tc>
          <w:tcPr>
            <w:tcW w:type="dxa" w:w="4104"/>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Average settlement percentage associated with customers in the current filter, based on their age.</w:t>
            </w:r>
          </w:p>
        </w:tc>
        <w:tc>
          <w:tcPr>
            <w:tcW w:type="dxa" w:w="3240"/>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A demographic exposure indicator, not an actual paid-claims total.</w:t>
            </w:r>
          </w:p>
        </w:tc>
      </w:tr>
    </w:tbl>
    <w:p>
      <w:pPr>
        <w:spacing w:after="20"/>
      </w:pPr>
    </w:p>
    <w:p>
      <w:pPr>
        <w:pStyle w:val="Heading1"/>
        <w:spacing w:before="240" w:after="120"/>
      </w:pPr>
      <w:r>
        <w:rPr>
          <w:rFonts w:ascii="Aptos Display" w:hAnsi="Aptos Display"/>
          <w:color w:val="000000"/>
        </w:rPr>
        <w:t>Executive Insights KPI notes</w:t>
      </w:r>
    </w:p>
    <w:p>
      <w:pPr>
        <w:spacing w:after="140" w:line="269" w:lineRule="auto"/>
      </w:pPr>
      <w:r>
        <w:rPr>
          <w:rFonts w:ascii="Aptos" w:hAnsi="Aptos"/>
          <w:sz w:val="21"/>
        </w:rPr>
        <w:t>Premium revenue tracks total premium income for the active selection. Customer reach shows unique insured customers. Policies sold counts issued policies and is useful beside customer reach to identify repeat purchasing. Expected settlement rate estimates settlement exposure from the selected customers age profile.</w:t>
      </w:r>
    </w:p>
    <w:p>
      <w:pPr>
        <w:pStyle w:val="Heading1"/>
        <w:spacing w:before="240" w:after="120"/>
      </w:pPr>
      <w:r>
        <w:rPr>
          <w:rFonts w:ascii="Aptos Display" w:hAnsi="Aptos Display"/>
          <w:color w:val="000000"/>
        </w:rPr>
        <w:t>Month over month interpretation</w:t>
      </w:r>
    </w:p>
    <w:p>
      <w:pPr>
        <w:spacing w:after="140" w:line="269" w:lineRule="auto"/>
      </w:pPr>
      <w:r>
        <w:rPr>
          <w:rFonts w:ascii="Aptos" w:hAnsi="Aptos"/>
          <w:sz w:val="21"/>
        </w:rPr>
        <w:t>A positive percentage change means the selected month is higher than the previous month for that KPI; a negative value means it is lower. Treat a change as a signal to investigate, not an explanation by itself. Use the General View, sales view and Age Group Analysis pages to identify the likely driver.</w:t>
      </w:r>
    </w:p>
    <w:p>
      <w:r>
        <w:br w:type="page"/>
      </w:r>
    </w:p>
    <w:p>
      <w:pPr>
        <w:pStyle w:val="Heading1"/>
        <w:spacing w:before="240" w:after="120"/>
      </w:pPr>
      <w:r>
        <w:rPr>
          <w:rFonts w:ascii="Aptos Display" w:hAnsi="Aptos Display"/>
          <w:color w:val="000000"/>
        </w:rPr>
        <w:t>How to Read the Analysis</w:t>
      </w:r>
    </w:p>
    <w:p>
      <w:pPr>
        <w:pStyle w:val="Heading2"/>
        <w:spacing w:before="240" w:after="120"/>
      </w:pPr>
      <w:r>
        <w:rPr>
          <w:rFonts w:ascii="Aptos Display" w:hAnsi="Aptos Display"/>
          <w:color w:val="000000"/>
        </w:rPr>
        <w:t>Suggested investigation sequence</w:t>
      </w:r>
    </w:p>
    <w:p>
      <w:pPr>
        <w:pStyle w:val="ListNumber"/>
      </w:pPr>
      <w:r>
        <w:t>Check Executive Insights to see whether the headline result is revenue, customer, policy or settlement related.</w:t>
      </w:r>
    </w:p>
    <w:p>
      <w:pPr>
        <w:pStyle w:val="ListNumber"/>
      </w:pPr>
      <w:r>
        <w:t>Use General View to find the biggest contributing city, age group or policy.</w:t>
      </w:r>
    </w:p>
    <w:p>
      <w:pPr>
        <w:pStyle w:val="ListNumber"/>
      </w:pPr>
      <w:r>
        <w:t>Open sales view if the issue appears channel related; compare sales modes for revenue and customer contribution.</w:t>
      </w:r>
    </w:p>
    <w:p>
      <w:pPr>
        <w:pStyle w:val="ListNumber"/>
      </w:pPr>
      <w:r>
        <w:t>Open Age Group Analysis when demographic mix or expected settlement exposure is relevant.</w:t>
      </w:r>
    </w:p>
    <w:p>
      <w:pPr>
        <w:pStyle w:val="ListNumber"/>
      </w:pPr>
      <w:r>
        <w:t>Apply one filter at a time and note the change in the KPIs before applying the next filter.</w:t>
      </w:r>
    </w:p>
    <w:p>
      <w:pPr>
        <w:pStyle w:val="Heading1"/>
        <w:spacing w:before="240" w:after="120"/>
      </w:pPr>
      <w:r>
        <w:rPr>
          <w:rFonts w:ascii="Aptos Display" w:hAnsi="Aptos Display"/>
          <w:color w:val="000000"/>
        </w:rPr>
        <w:t>Data model at a glance</w:t>
      </w:r>
    </w:p>
    <w:tbl>
      <w:tblPr>
        <w:tblStyle w:val="TableGrid"/>
        <w:tblW w:type="auto" w:w="0"/>
        <w:jc w:val="center"/>
        <w:tblLook w:firstColumn="1" w:firstRow="1" w:lastColumn="0" w:lastRow="0" w:noHBand="0" w:noVBand="1" w:val="04A0"/>
      </w:tblPr>
      <w:tblGrid>
        <w:gridCol w:w="3312"/>
        <w:gridCol w:w="3312"/>
        <w:gridCol w:w="3312"/>
      </w:tblGrid>
      <w:tr>
        <w:tc>
          <w:tcPr>
            <w:tcW w:type="dxa" w:w="1800"/>
            <w:vAlign w:val="center"/>
            <w:tcBorders>
              <w:top w:val="single" w:sz="6" w:color="D9D9D9"/>
              <w:left w:val="single" w:sz="6" w:color="D9D9D9"/>
              <w:bottom w:val="single" w:sz="6" w:color="D9D9D9"/>
              <w:right w:val="single" w:sz="6" w:color="D9D9D9"/>
            </w:tcBorders>
            <w:shd w:fill="14202E"/>
          </w:tcPr>
          <w:p>
            <w:pPr>
              <w:spacing w:after="40"/>
            </w:pPr>
            <w:r/>
            <w:r>
              <w:rPr>
                <w:rFonts w:ascii="Aptos" w:hAnsi="Aptos"/>
                <w:b/>
                <w:color w:val="FFFFFF"/>
                <w:sz w:val="19"/>
              </w:rPr>
              <w:t>Table</w:t>
            </w:r>
          </w:p>
        </w:tc>
        <w:tc>
          <w:tcPr>
            <w:tcW w:type="dxa" w:w="4464"/>
            <w:vAlign w:val="center"/>
            <w:tcBorders>
              <w:top w:val="single" w:sz="6" w:color="D9D9D9"/>
              <w:left w:val="single" w:sz="6" w:color="D9D9D9"/>
              <w:bottom w:val="single" w:sz="6" w:color="D9D9D9"/>
              <w:right w:val="single" w:sz="6" w:color="D9D9D9"/>
            </w:tcBorders>
            <w:shd w:fill="14202E"/>
          </w:tcPr>
          <w:p>
            <w:pPr>
              <w:spacing w:after="40"/>
            </w:pPr>
            <w:r/>
            <w:r>
              <w:rPr>
                <w:rFonts w:ascii="Aptos" w:hAnsi="Aptos"/>
                <w:b/>
                <w:color w:val="FFFFFF"/>
                <w:sz w:val="19"/>
              </w:rPr>
              <w:t>Contains</w:t>
            </w:r>
          </w:p>
        </w:tc>
        <w:tc>
          <w:tcPr>
            <w:tcW w:type="dxa" w:w="3096"/>
            <w:vAlign w:val="center"/>
            <w:tcBorders>
              <w:top w:val="single" w:sz="6" w:color="D9D9D9"/>
              <w:left w:val="single" w:sz="6" w:color="D9D9D9"/>
              <w:bottom w:val="single" w:sz="6" w:color="D9D9D9"/>
              <w:right w:val="single" w:sz="6" w:color="D9D9D9"/>
            </w:tcBorders>
            <w:shd w:fill="14202E"/>
          </w:tcPr>
          <w:p>
            <w:pPr>
              <w:spacing w:after="40"/>
            </w:pPr>
            <w:r/>
            <w:r>
              <w:rPr>
                <w:rFonts w:ascii="Aptos" w:hAnsi="Aptos"/>
                <w:b/>
                <w:color w:val="FFFFFF"/>
                <w:sz w:val="19"/>
              </w:rPr>
              <w:t>Used for</w:t>
            </w:r>
          </w:p>
        </w:tc>
      </w:tr>
      <w:tr>
        <w:tc>
          <w:tcPr>
            <w:tcW w:type="dxa" w:w="180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fact_premiums</w:t>
            </w:r>
          </w:p>
        </w:tc>
        <w:tc>
          <w:tcPr>
            <w:tcW w:type="dxa" w:w="4464"/>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Premium dates, customer codes, policy IDs, sales modes and final premium amounts.</w:t>
            </w:r>
          </w:p>
        </w:tc>
        <w:tc>
          <w:tcPr>
            <w:tcW w:type="dxa" w:w="3096"/>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Revenue, customers, policies and channel analysis.</w:t>
            </w:r>
          </w:p>
        </w:tc>
      </w:tr>
      <w:tr>
        <w:tc>
          <w:tcPr>
            <w:tcW w:type="dxa" w:w="1800"/>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dim_customer</w:t>
            </w:r>
          </w:p>
        </w:tc>
        <w:tc>
          <w:tcPr>
            <w:tcW w:type="dxa" w:w="4464"/>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Customer code, date of birth, city, calculated age and age group.</w:t>
            </w:r>
          </w:p>
        </w:tc>
        <w:tc>
          <w:tcPr>
            <w:tcW w:type="dxa" w:w="3096"/>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City and demographic analysis.</w:t>
            </w:r>
          </w:p>
        </w:tc>
      </w:tr>
      <w:tr>
        <w:tc>
          <w:tcPr>
            <w:tcW w:type="dxa" w:w="180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dim_policies</w:t>
            </w:r>
          </w:p>
        </w:tc>
        <w:tc>
          <w:tcPr>
            <w:tcW w:type="dxa" w:w="4464"/>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Policy IDs, base coverage and base premium amounts.</w:t>
            </w:r>
          </w:p>
        </w:tc>
        <w:tc>
          <w:tcPr>
            <w:tcW w:type="dxa" w:w="3096"/>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Policy-level comparison.</w:t>
            </w:r>
          </w:p>
        </w:tc>
      </w:tr>
      <w:tr>
        <w:tc>
          <w:tcPr>
            <w:tcW w:type="dxa" w:w="1800"/>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fact_settlements</w:t>
            </w:r>
          </w:p>
        </w:tc>
        <w:tc>
          <w:tcPr>
            <w:tcW w:type="dxa" w:w="4464"/>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Age and settlement percentage.</w:t>
            </w:r>
          </w:p>
        </w:tc>
        <w:tc>
          <w:tcPr>
            <w:tcW w:type="dxa" w:w="3096"/>
            <w:vAlign w:val="center"/>
            <w:tcBorders>
              <w:top w:val="single" w:sz="6" w:color="D9D9D9"/>
              <w:left w:val="single" w:sz="6" w:color="D9D9D9"/>
              <w:bottom w:val="single" w:sz="6" w:color="D9D9D9"/>
              <w:right w:val="single" w:sz="6" w:color="D9D9D9"/>
            </w:tcBorders>
            <w:shd w:fill="EEF2F7"/>
          </w:tcPr>
          <w:p>
            <w:pPr>
              <w:spacing w:after="40"/>
            </w:pPr>
            <w:r/>
            <w:r>
              <w:rPr>
                <w:rFonts w:ascii="Aptos" w:hAnsi="Aptos"/>
                <w:b w:val="0"/>
                <w:color w:val="000000"/>
                <w:sz w:val="19"/>
              </w:rPr>
              <w:t>Expected settlement percentage by customer age.</w:t>
            </w:r>
          </w:p>
        </w:tc>
      </w:tr>
      <w:tr>
        <w:tc>
          <w:tcPr>
            <w:tcW w:type="dxa" w:w="1800"/>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dim_date</w:t>
            </w:r>
          </w:p>
        </w:tc>
        <w:tc>
          <w:tcPr>
            <w:tcW w:type="dxa" w:w="4464"/>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Calendar and month fields.</w:t>
            </w:r>
          </w:p>
        </w:tc>
        <w:tc>
          <w:tcPr>
            <w:tcW w:type="dxa" w:w="3096"/>
            <w:vAlign w:val="center"/>
            <w:tcBorders>
              <w:top w:val="single" w:sz="6" w:color="D9D9D9"/>
              <w:left w:val="single" w:sz="6" w:color="D9D9D9"/>
              <w:bottom w:val="single" w:sz="6" w:color="D9D9D9"/>
              <w:right w:val="single" w:sz="6" w:color="D9D9D9"/>
            </w:tcBorders>
          </w:tcPr>
          <w:p>
            <w:pPr>
              <w:spacing w:after="40"/>
            </w:pPr>
            <w:r/>
            <w:r>
              <w:rPr>
                <w:rFonts w:ascii="Aptos" w:hAnsi="Aptos"/>
                <w:b w:val="0"/>
                <w:color w:val="000000"/>
                <w:sz w:val="19"/>
              </w:rPr>
              <w:t>Time trends and last-month comparison.</w:t>
            </w:r>
          </w:p>
        </w:tc>
      </w:tr>
    </w:tbl>
    <w:p>
      <w:pPr>
        <w:spacing w:after="20"/>
      </w:pPr>
    </w:p>
    <w:p>
      <w:pPr>
        <w:pStyle w:val="Heading1"/>
        <w:spacing w:before="240" w:after="120"/>
      </w:pPr>
      <w:r>
        <w:rPr>
          <w:rFonts w:ascii="Aptos Display" w:hAnsi="Aptos Display"/>
          <w:color w:val="000000"/>
        </w:rPr>
        <w:t>Practical checks before sharing a finding</w:t>
      </w:r>
    </w:p>
    <w:p>
      <w:pPr>
        <w:pStyle w:val="ListBullet"/>
      </w:pPr>
      <w:r>
        <w:t>State the date range and all active slicers.</w:t>
      </w:r>
    </w:p>
    <w:p>
      <w:pPr>
        <w:pStyle w:val="ListBullet"/>
      </w:pPr>
      <w:r>
        <w:t>Confirm whether the result is revenue, customers or policies; these can move differently.</w:t>
      </w:r>
    </w:p>
    <w:p>
      <w:pPr>
        <w:pStyle w:val="ListBullet"/>
      </w:pPr>
      <w:r>
        <w:t>For a month-over-month conclusion, confirm that one month is selected.</w:t>
      </w:r>
    </w:p>
    <w:p>
      <w:pPr>
        <w:pStyle w:val="ListBullet"/>
      </w:pPr>
      <w:r>
        <w:t>Describe expected settlement percentage as an exposure estimate rather than a paid-settlement amount.</w:t>
      </w:r>
    </w:p>
    <w:p>
      <w:pPr>
        <w:pStyle w:val="ListBullet"/>
      </w:pPr>
      <w:r>
        <w:t>Refresh the report before using it for a current-period decision if the underlying CSV files have changed.</w:t>
      </w:r>
    </w:p>
    <w:p>
      <w:pPr>
        <w:pStyle w:val="Heading1"/>
        <w:spacing w:before="240" w:after="120"/>
      </w:pPr>
      <w:r>
        <w:rPr>
          <w:rFonts w:ascii="Aptos Display" w:hAnsi="Aptos Display"/>
          <w:color w:val="000000"/>
        </w:rPr>
        <w:t>Support and maintenance</w:t>
      </w:r>
    </w:p>
    <w:p>
      <w:pPr>
        <w:spacing w:after="140" w:line="269" w:lineRule="auto"/>
      </w:pPr>
      <w:r>
        <w:rPr>
          <w:rFonts w:ascii="Aptos" w:hAnsi="Aptos"/>
          <w:sz w:val="21"/>
        </w:rPr>
        <w:t>The PBIP project includes a report definition and a semantic model. The model reads local CSV sources for premiums, customers, policies and settlements. If data paths, column names or source files change, refresh errors can occur and the affected Power Query connection should be checked before relying on the dashboard.</w:t>
      </w:r>
    </w:p>
    <w:p>
      <w:pPr>
        <w:spacing w:after="140" w:line="269" w:lineRule="auto"/>
      </w:pPr>
      <w:r>
        <w:rPr>
          <w:rFonts w:ascii="Aptos" w:hAnsi="Aptos"/>
          <w:sz w:val="21"/>
        </w:rPr>
        <w:t>When adding a new KPI, define the measure in the semantic model first, assign a clear format and description, then place it on the appropriate report page. Keep the existing distinction between revenue, customer, policy-volume and demographic-exposure measures.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07386"/>
        <w:sz w:val="16"/>
      </w:rPr>
      <w:t xml:space="preserve">Shield Insurance Dashboard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Shield Insurance Dashboard Guide</dc:title>
  <dc:subject>Dashboard handover guide for Mathew</dc:subject>
  <dc:creator>Shield Insurance</dc:creator>
  <cp:keywords/>
  <dc:description>generated by python-docx</dc:description>
  <cp:lastModifiedBy/>
  <cp:revision>1</cp:revision>
  <dcterms:created xsi:type="dcterms:W3CDTF">2013-12-23T23:15:00Z</dcterms:created>
  <dcterms:modified xsi:type="dcterms:W3CDTF">2013-12-23T23:15:00Z</dcterms:modified>
  <cp:category/>
</cp:coreProperties>
</file>