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469" w:rsidRPr="003226A5" w:rsidRDefault="00EA132F" w:rsidP="003226A5">
      <w:pPr>
        <w:pStyle w:val="Title"/>
        <w:jc w:val="center"/>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Preliminary Results and </w:t>
      </w:r>
      <w:r w:rsidRPr="003226A5">
        <w:rPr>
          <w:rFonts w:ascii="Times New Roman" w:hAnsi="Times New Roman" w:cs="Times New Roman"/>
          <w:color w:val="000000" w:themeColor="text1"/>
          <w:sz w:val="24"/>
          <w:szCs w:val="24"/>
        </w:rPr>
        <w:t>Discussion</w:t>
      </w:r>
    </w:p>
    <w:p w:rsidR="00F73469" w:rsidRPr="003226A5" w:rsidRDefault="00EA132F" w:rsidP="003226A5">
      <w:pPr>
        <w:spacing w:after="300"/>
        <w:jc w:val="center"/>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Evaluating Random vs. Time-Aware Validation in Financial Machine Learning</w:t>
      </w:r>
    </w:p>
    <w:p w:rsidR="00F73469" w:rsidRPr="003226A5" w:rsidRDefault="00EA132F" w:rsidP="003226A5">
      <w:pPr>
        <w:spacing w:after="300"/>
        <w:jc w:val="center"/>
        <w:rPr>
          <w:rFonts w:ascii="Times New Roman" w:hAnsi="Times New Roman" w:cs="Times New Roman"/>
          <w:color w:val="000000" w:themeColor="text1"/>
          <w:sz w:val="24"/>
          <w:szCs w:val="24"/>
        </w:rPr>
      </w:pPr>
      <w:r w:rsidRPr="003226A5">
        <w:rPr>
          <w:rFonts w:ascii="Times New Roman" w:hAnsi="Times New Roman" w:cs="Times New Roman"/>
          <w:i/>
          <w:color w:val="000000" w:themeColor="text1"/>
          <w:sz w:val="24"/>
          <w:szCs w:val="24"/>
        </w:rPr>
        <w:t>STEM Advance Research Project | Prepared for Prof. Vlad Veksler</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 Executive Summary</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Research question. </w:t>
      </w:r>
      <w:r w:rsidRPr="003226A5">
        <w:rPr>
          <w:rFonts w:ascii="Times New Roman" w:hAnsi="Times New Roman" w:cs="Times New Roman"/>
          <w:color w:val="000000" w:themeColor="text1"/>
          <w:sz w:val="24"/>
          <w:szCs w:val="24"/>
        </w:rPr>
        <w:t xml:space="preserve">To what extent does random validation </w:t>
      </w:r>
      <w:r w:rsidRPr="003226A5">
        <w:rPr>
          <w:rFonts w:ascii="Times New Roman" w:hAnsi="Times New Roman" w:cs="Times New Roman"/>
          <w:color w:val="000000" w:themeColor="text1"/>
          <w:sz w:val="24"/>
          <w:szCs w:val="24"/>
        </w:rPr>
        <w:t>overstate predictive accuracy compared with time-aware validation for financial forecasting models?</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Primary result. </w:t>
      </w:r>
      <w:r w:rsidRPr="003226A5">
        <w:rPr>
          <w:rFonts w:ascii="Times New Roman" w:hAnsi="Times New Roman" w:cs="Times New Roman"/>
          <w:color w:val="000000" w:themeColor="text1"/>
          <w:sz w:val="24"/>
          <w:szCs w:val="24"/>
        </w:rPr>
        <w:t>Across Apple and Netflix, walk-forward RMSE was higher than random-split RMSE for every model that was evaluated under both protocols. The m</w:t>
      </w:r>
      <w:r w:rsidRPr="003226A5">
        <w:rPr>
          <w:rFonts w:ascii="Times New Roman" w:hAnsi="Times New Roman" w:cs="Times New Roman"/>
          <w:color w:val="000000" w:themeColor="text1"/>
          <w:sz w:val="24"/>
          <w:szCs w:val="24"/>
        </w:rPr>
        <w:t>agnitude was not uniform: random-to-walk RMSE increases ranged from about 19% to 452% on Netflix and about 256% to 798% on Apple.</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Broader result. </w:t>
      </w:r>
      <w:r w:rsidRPr="003226A5">
        <w:rPr>
          <w:rFonts w:ascii="Times New Roman" w:hAnsi="Times New Roman" w:cs="Times New Roman"/>
          <w:color w:val="000000" w:themeColor="text1"/>
          <w:sz w:val="24"/>
          <w:szCs w:val="24"/>
        </w:rPr>
        <w:t>The effect was not simply “random split makes every model equally optimistic.” Validation sensitivity varied b</w:t>
      </w:r>
      <w:r w:rsidRPr="003226A5">
        <w:rPr>
          <w:rFonts w:ascii="Times New Roman" w:hAnsi="Times New Roman" w:cs="Times New Roman"/>
          <w:color w:val="000000" w:themeColor="text1"/>
          <w:sz w:val="24"/>
          <w:szCs w:val="24"/>
        </w:rPr>
        <w:t>y model and dataset. Apple also showed a major change in model ranking, while Netflix preserved the random-split ranking despite much larger absolute errors for several models.</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Temporal finding. </w:t>
      </w:r>
      <w:r w:rsidRPr="003226A5">
        <w:rPr>
          <w:rFonts w:ascii="Times New Roman" w:hAnsi="Times New Roman" w:cs="Times New Roman"/>
          <w:color w:val="000000" w:themeColor="text1"/>
          <w:sz w:val="24"/>
          <w:szCs w:val="24"/>
        </w:rPr>
        <w:t xml:space="preserve">Walk-forward validation exposed concentrated period-specific </w:t>
      </w:r>
      <w:r w:rsidRPr="003226A5">
        <w:rPr>
          <w:rFonts w:ascii="Times New Roman" w:hAnsi="Times New Roman" w:cs="Times New Roman"/>
          <w:color w:val="000000" w:themeColor="text1"/>
          <w:sz w:val="24"/>
          <w:szCs w:val="24"/>
        </w:rPr>
        <w:t>failures. Several of the worst periods coincided with future target prices extending beyond the range represented in the expanding training history, but range extension alone did not determine error. Model response to temporal shift was heterogeneous.</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 E</w:t>
      </w:r>
      <w:r w:rsidRPr="003226A5">
        <w:rPr>
          <w:rFonts w:ascii="Times New Roman" w:hAnsi="Times New Roman" w:cs="Times New Roman"/>
          <w:color w:val="000000" w:themeColor="text1"/>
          <w:sz w:val="24"/>
          <w:szCs w:val="24"/>
        </w:rPr>
        <w:t>xperimental Design</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Datasets. </w:t>
      </w:r>
      <w:r w:rsidRPr="003226A5">
        <w:rPr>
          <w:rFonts w:ascii="Times New Roman" w:hAnsi="Times New Roman" w:cs="Times New Roman"/>
          <w:color w:val="000000" w:themeColor="text1"/>
          <w:sz w:val="24"/>
          <w:szCs w:val="24"/>
        </w:rPr>
        <w:t>Apple (AAPL) and Netflix (NFLX) historical market data; target = next-day closing price.</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Models. </w:t>
      </w:r>
      <w:r w:rsidRPr="003226A5">
        <w:rPr>
          <w:rFonts w:ascii="Times New Roman" w:hAnsi="Times New Roman" w:cs="Times New Roman"/>
          <w:color w:val="000000" w:themeColor="text1"/>
          <w:sz w:val="24"/>
          <w:szCs w:val="24"/>
        </w:rPr>
        <w:t>Linear Regression (LR), Decision Tree (DT), Random Forest (RF), XGBoost (XGB), MLP, and a raw OHLCV LSTM.</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Validation. </w:t>
      </w:r>
      <w:r w:rsidRPr="003226A5">
        <w:rPr>
          <w:rFonts w:ascii="Times New Roman" w:hAnsi="Times New Roman" w:cs="Times New Roman"/>
          <w:color w:val="000000" w:themeColor="text1"/>
          <w:sz w:val="24"/>
          <w:szCs w:val="24"/>
        </w:rPr>
        <w:t>Random train</w:t>
      </w:r>
      <w:r w:rsidRPr="003226A5">
        <w:rPr>
          <w:rFonts w:ascii="Times New Roman" w:hAnsi="Times New Roman" w:cs="Times New Roman"/>
          <w:color w:val="000000" w:themeColor="text1"/>
          <w:sz w:val="24"/>
          <w:szCs w:val="24"/>
        </w:rPr>
        <w:t>-test split, chronological holdout, and five-fold expanding walk-forward validation. RMSE is the primary comparison metric; walk-forward median and standard deviation are used as robustness diagnostics.</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Comparability note. </w:t>
      </w:r>
      <w:r w:rsidRPr="003226A5">
        <w:rPr>
          <w:rFonts w:ascii="Times New Roman" w:hAnsi="Times New Roman" w:cs="Times New Roman"/>
          <w:color w:val="000000" w:themeColor="text1"/>
          <w:sz w:val="24"/>
          <w:szCs w:val="24"/>
        </w:rPr>
        <w:t>The raw LSTM does not currently h</w:t>
      </w:r>
      <w:r w:rsidRPr="003226A5">
        <w:rPr>
          <w:rFonts w:ascii="Times New Roman" w:hAnsi="Times New Roman" w:cs="Times New Roman"/>
          <w:color w:val="000000" w:themeColor="text1"/>
          <w:sz w:val="24"/>
          <w:szCs w:val="24"/>
        </w:rPr>
        <w:t>ave a matched random-split result, so random-to-walk inflation and random-vs-walk rank comparisons are restricted to LR, DT, RF, XGB, and MLP.</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 Primary Result: Random vs. Walk-Forward Error</w:t>
      </w:r>
    </w:p>
    <w:tbl>
      <w:tblPr>
        <w:tblStyle w:val="TableGrid"/>
        <w:tblW w:w="0" w:type="auto"/>
        <w:jc w:val="center"/>
        <w:tblLook w:val="04A0" w:firstRow="1" w:lastRow="0" w:firstColumn="1" w:lastColumn="0" w:noHBand="0" w:noVBand="1"/>
      </w:tblPr>
      <w:tblGrid>
        <w:gridCol w:w="1480"/>
        <w:gridCol w:w="1480"/>
        <w:gridCol w:w="1479"/>
        <w:gridCol w:w="1480"/>
        <w:gridCol w:w="1480"/>
        <w:gridCol w:w="1479"/>
        <w:gridCol w:w="1480"/>
      </w:tblGrid>
      <w:tr w:rsidR="00A90221" w:rsidRPr="003226A5">
        <w:trPr>
          <w:jc w:val="center"/>
        </w:trPr>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Model</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NFLX Random</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NFLX Walk</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NFLX Increase</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AAPL Random</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AAPL Walk</w:t>
            </w:r>
          </w:p>
        </w:tc>
        <w:tc>
          <w:tcPr>
            <w:tcW w:w="1481"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AAPL Increase</w:t>
            </w:r>
          </w:p>
        </w:tc>
      </w:tr>
      <w:tr w:rsidR="00A90221" w:rsidRPr="003226A5">
        <w:trPr>
          <w:jc w:val="center"/>
        </w:trPr>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LR</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8.60</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10.26</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+19.3%</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4.45</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18.03</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+305.2%</w:t>
            </w:r>
          </w:p>
        </w:tc>
      </w:tr>
      <w:tr w:rsidR="00A90221" w:rsidRPr="003226A5">
        <w:trPr>
          <w:jc w:val="center"/>
        </w:trPr>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DT</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12.77</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53.94</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+322.4%</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3.38</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23.67</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+600.2%</w:t>
            </w:r>
          </w:p>
        </w:tc>
      </w:tr>
      <w:tr w:rsidR="00A90221" w:rsidRPr="003226A5">
        <w:trPr>
          <w:jc w:val="center"/>
        </w:trPr>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RF</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9.13</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48.66</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+433.0%</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2.71</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24.01</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+784.9%</w:t>
            </w:r>
          </w:p>
        </w:tc>
      </w:tr>
      <w:tr w:rsidR="00A90221" w:rsidRPr="003226A5">
        <w:trPr>
          <w:jc w:val="center"/>
        </w:trPr>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XGB</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9.42</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51.97</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+451.7%</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2.92</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26.21</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+797.8%</w:t>
            </w:r>
          </w:p>
        </w:tc>
      </w:tr>
      <w:tr w:rsidR="003226A5" w:rsidRPr="003226A5">
        <w:trPr>
          <w:jc w:val="center"/>
        </w:trPr>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MLP</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9.12</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26.10</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+186.2%</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2.79</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9.94</w:t>
            </w:r>
          </w:p>
        </w:tc>
        <w:tc>
          <w:tcPr>
            <w:tcW w:w="1481"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+255.6%</w:t>
            </w:r>
          </w:p>
        </w:tc>
      </w:tr>
    </w:tbl>
    <w:p w:rsidR="00F73469" w:rsidRPr="003226A5" w:rsidRDefault="00F73469" w:rsidP="003226A5">
      <w:pPr>
        <w:spacing w:after="300"/>
        <w:rPr>
          <w:rFonts w:ascii="Times New Roman" w:hAnsi="Times New Roman" w:cs="Times New Roman"/>
          <w:color w:val="000000" w:themeColor="text1"/>
          <w:sz w:val="24"/>
          <w:szCs w:val="24"/>
        </w:rPr>
      </w:pP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Cross-dataset finding. </w:t>
      </w:r>
      <w:r w:rsidRPr="003226A5">
        <w:rPr>
          <w:rFonts w:ascii="Times New Roman" w:hAnsi="Times New Roman" w:cs="Times New Roman"/>
          <w:color w:val="000000" w:themeColor="text1"/>
          <w:sz w:val="24"/>
          <w:szCs w:val="24"/>
        </w:rPr>
        <w:t xml:space="preserve">The </w:t>
      </w:r>
      <w:r w:rsidRPr="003226A5">
        <w:rPr>
          <w:rFonts w:ascii="Times New Roman" w:hAnsi="Times New Roman" w:cs="Times New Roman"/>
          <w:color w:val="000000" w:themeColor="text1"/>
          <w:sz w:val="24"/>
          <w:szCs w:val="24"/>
        </w:rPr>
        <w:t>combined analysis shows a positive random-to-walk RMSE increase in all 10 directly comparable model-dataset cases. The strongest increases occur for the tree-based models on both datasets, but architecture alone does not explain the pattern. Linear Regress</w:t>
      </w:r>
      <w:r w:rsidRPr="003226A5">
        <w:rPr>
          <w:rFonts w:ascii="Times New Roman" w:hAnsi="Times New Roman" w:cs="Times New Roman"/>
          <w:color w:val="000000" w:themeColor="text1"/>
          <w:sz w:val="24"/>
          <w:szCs w:val="24"/>
        </w:rPr>
        <w:t>ion increases only 19.3% on Netflix but 305.2% on Apple.</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Suggested Figure 1: </w:t>
      </w:r>
      <w:r w:rsidRPr="003226A5">
        <w:rPr>
          <w:rFonts w:ascii="Times New Roman" w:hAnsi="Times New Roman" w:cs="Times New Roman"/>
          <w:color w:val="000000" w:themeColor="text1"/>
          <w:sz w:val="24"/>
          <w:szCs w:val="24"/>
        </w:rPr>
        <w:t xml:space="preserve">RMSE Increase from Random to Walk-Forward Validation </w:t>
      </w:r>
      <w:proofErr w:type="gramStart"/>
      <w:r w:rsidRPr="003226A5">
        <w:rPr>
          <w:rFonts w:ascii="Times New Roman" w:hAnsi="Times New Roman" w:cs="Times New Roman"/>
          <w:color w:val="000000" w:themeColor="text1"/>
          <w:sz w:val="24"/>
          <w:szCs w:val="24"/>
        </w:rPr>
        <w:t>Across</w:t>
      </w:r>
      <w:proofErr w:type="gramEnd"/>
      <w:r w:rsidRPr="003226A5">
        <w:rPr>
          <w:rFonts w:ascii="Times New Roman" w:hAnsi="Times New Roman" w:cs="Times New Roman"/>
          <w:color w:val="000000" w:themeColor="text1"/>
          <w:sz w:val="24"/>
          <w:szCs w:val="24"/>
        </w:rPr>
        <w:t xml:space="preserve"> Datasets (the grouped Netflix/Apple inflation figure from Combined_Results.ipynb).</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Figure interpretation: </w:t>
      </w:r>
      <w:r w:rsidRPr="003226A5">
        <w:rPr>
          <w:rFonts w:ascii="Times New Roman" w:hAnsi="Times New Roman" w:cs="Times New Roman"/>
          <w:color w:val="000000" w:themeColor="text1"/>
          <w:sz w:val="24"/>
          <w:szCs w:val="24"/>
        </w:rPr>
        <w:t xml:space="preserve">Walk-forward </w:t>
      </w:r>
      <w:r w:rsidRPr="003226A5">
        <w:rPr>
          <w:rFonts w:ascii="Times New Roman" w:hAnsi="Times New Roman" w:cs="Times New Roman"/>
          <w:color w:val="000000" w:themeColor="text1"/>
          <w:sz w:val="24"/>
          <w:szCs w:val="24"/>
        </w:rPr>
        <w:t>RMSE is higher for every comparable model-dataset pair, but the size of the difference varies substantially across models and datasets. This supports a model-by-dataset interpretation rather than a universal architecture-only explanation.</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 Validation Str</w:t>
      </w:r>
      <w:r w:rsidRPr="003226A5">
        <w:rPr>
          <w:rFonts w:ascii="Times New Roman" w:hAnsi="Times New Roman" w:cs="Times New Roman"/>
          <w:color w:val="000000" w:themeColor="text1"/>
          <w:sz w:val="24"/>
          <w:szCs w:val="24"/>
        </w:rPr>
        <w:t>ategy Can Change Model Selection</w:t>
      </w:r>
    </w:p>
    <w:tbl>
      <w:tblPr>
        <w:tblStyle w:val="TableGrid"/>
        <w:tblW w:w="0" w:type="auto"/>
        <w:jc w:val="center"/>
        <w:tblLook w:val="04A0" w:firstRow="1" w:lastRow="0" w:firstColumn="1" w:lastColumn="0" w:noHBand="0" w:noVBand="1"/>
      </w:tblPr>
      <w:tblGrid>
        <w:gridCol w:w="2071"/>
        <w:gridCol w:w="2071"/>
        <w:gridCol w:w="2071"/>
        <w:gridCol w:w="2072"/>
        <w:gridCol w:w="2073"/>
      </w:tblGrid>
      <w:tr w:rsidR="00A90221" w:rsidRPr="003226A5">
        <w:trPr>
          <w:jc w:val="center"/>
        </w:trPr>
        <w:tc>
          <w:tcPr>
            <w:tcW w:w="2074"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Dataset</w:t>
            </w:r>
          </w:p>
        </w:tc>
        <w:tc>
          <w:tcPr>
            <w:tcW w:w="2074"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Best under Random</w:t>
            </w:r>
          </w:p>
        </w:tc>
        <w:tc>
          <w:tcPr>
            <w:tcW w:w="2074"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Best under Walk</w:t>
            </w:r>
          </w:p>
        </w:tc>
        <w:tc>
          <w:tcPr>
            <w:tcW w:w="2074"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Spearman rho</w:t>
            </w:r>
          </w:p>
        </w:tc>
        <w:tc>
          <w:tcPr>
            <w:tcW w:w="2074"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Interpretation</w:t>
            </w:r>
          </w:p>
        </w:tc>
      </w:tr>
      <w:tr w:rsidR="00A90221" w:rsidRPr="003226A5">
        <w:trPr>
          <w:jc w:val="center"/>
        </w:trPr>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Apple</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RF (2.71)</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MLP (9.94)</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-0.20</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Substantial ranking disagreement</w:t>
            </w:r>
          </w:p>
        </w:tc>
      </w:tr>
      <w:tr w:rsidR="003226A5" w:rsidRPr="003226A5">
        <w:trPr>
          <w:jc w:val="center"/>
        </w:trPr>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Netflix</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LR (8.60)</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LR (10.26)</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1.00</w:t>
            </w:r>
          </w:p>
        </w:tc>
        <w:tc>
          <w:tcPr>
            <w:tcW w:w="2074"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Ranking preserved</w:t>
            </w:r>
          </w:p>
        </w:tc>
      </w:tr>
    </w:tbl>
    <w:p w:rsidR="00F73469" w:rsidRPr="003226A5" w:rsidRDefault="00F73469" w:rsidP="003226A5">
      <w:pPr>
        <w:spacing w:after="300"/>
        <w:rPr>
          <w:rFonts w:ascii="Times New Roman" w:hAnsi="Times New Roman" w:cs="Times New Roman"/>
          <w:color w:val="000000" w:themeColor="text1"/>
          <w:sz w:val="24"/>
          <w:szCs w:val="24"/>
        </w:rPr>
      </w:pP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Apple. </w:t>
      </w:r>
      <w:r w:rsidRPr="003226A5">
        <w:rPr>
          <w:rFonts w:ascii="Times New Roman" w:hAnsi="Times New Roman" w:cs="Times New Roman"/>
          <w:color w:val="000000" w:themeColor="text1"/>
          <w:sz w:val="24"/>
          <w:szCs w:val="24"/>
        </w:rPr>
        <w:t xml:space="preserve">Random Forest appears </w:t>
      </w:r>
      <w:r w:rsidRPr="003226A5">
        <w:rPr>
          <w:rFonts w:ascii="Times New Roman" w:hAnsi="Times New Roman" w:cs="Times New Roman"/>
          <w:color w:val="000000" w:themeColor="text1"/>
          <w:sz w:val="24"/>
          <w:szCs w:val="24"/>
        </w:rPr>
        <w:t>best under random splitting, but MLP becomes best under walk-forward validation. The five-model rank correlation is -0.20. With only five models, this is treated descriptively rather than as a strong inferential test.</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Netflix. </w:t>
      </w:r>
      <w:r w:rsidRPr="003226A5">
        <w:rPr>
          <w:rFonts w:ascii="Times New Roman" w:hAnsi="Times New Roman" w:cs="Times New Roman"/>
          <w:color w:val="000000" w:themeColor="text1"/>
          <w:sz w:val="24"/>
          <w:szCs w:val="24"/>
        </w:rPr>
        <w:t>The ordering of the five comp</w:t>
      </w:r>
      <w:r w:rsidRPr="003226A5">
        <w:rPr>
          <w:rFonts w:ascii="Times New Roman" w:hAnsi="Times New Roman" w:cs="Times New Roman"/>
          <w:color w:val="000000" w:themeColor="text1"/>
          <w:sz w:val="24"/>
          <w:szCs w:val="24"/>
        </w:rPr>
        <w:t>arable models is preserved (rho = 1.00), even though absolute error increases sharply for DT, RF, XGB, and MLP. Therefore, validation optimism can materially distort expected error without necessarily changing model selection in every dataset.</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5. Walk-Forw</w:t>
      </w:r>
      <w:r w:rsidRPr="003226A5">
        <w:rPr>
          <w:rFonts w:ascii="Times New Roman" w:hAnsi="Times New Roman" w:cs="Times New Roman"/>
          <w:color w:val="000000" w:themeColor="text1"/>
          <w:sz w:val="24"/>
          <w:szCs w:val="24"/>
        </w:rPr>
        <w:t>ard Validation Reveals Period-Specific Failure</w:t>
      </w:r>
    </w:p>
    <w:tbl>
      <w:tblPr>
        <w:tblStyle w:val="TableGrid"/>
        <w:tblW w:w="0" w:type="auto"/>
        <w:jc w:val="center"/>
        <w:tblLook w:val="04A0" w:firstRow="1" w:lastRow="0" w:firstColumn="1" w:lastColumn="0" w:noHBand="0" w:noVBand="1"/>
      </w:tblPr>
      <w:tblGrid>
        <w:gridCol w:w="1727"/>
        <w:gridCol w:w="1727"/>
        <w:gridCol w:w="1726"/>
        <w:gridCol w:w="1726"/>
        <w:gridCol w:w="1726"/>
        <w:gridCol w:w="1726"/>
      </w:tblGrid>
      <w:tr w:rsidR="00A90221" w:rsidRPr="003226A5">
        <w:trPr>
          <w:jc w:val="center"/>
        </w:trPr>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Model</w:t>
            </w:r>
          </w:p>
        </w:tc>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Worst Fold</w:t>
            </w:r>
          </w:p>
        </w:tc>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Worst RMSE</w:t>
            </w:r>
          </w:p>
        </w:tc>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Walk Mean</w:t>
            </w:r>
          </w:p>
        </w:tc>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Mean w/o Worst</w:t>
            </w:r>
          </w:p>
        </w:tc>
        <w:tc>
          <w:tcPr>
            <w:tcW w:w="1728"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Worst-fold share*</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LR</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15.09</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10.26</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9.05</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29.42%</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DT</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133.54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53.94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34.04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49.51%</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RF</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133.32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48.66</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27.49</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54.80%</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XGB</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134.15</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51.97</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31.42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51.63%</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MLP</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50.76</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26.10</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19.94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38.89%</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LSTM</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113.97</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38.23</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19.29</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59.63%</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LR</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56.38</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18.03</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8.44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62.54%</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DT</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43.05</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23.67</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18.83</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36.37%</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RF</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43.44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24.01</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19.16</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36.18%</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XGB</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46.11</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26.21</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21.23</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35.19%</w:t>
            </w:r>
          </w:p>
        </w:tc>
      </w:tr>
      <w:tr w:rsidR="00A90221"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MLP</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19.48</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9.94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7.55</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39.22%</w:t>
            </w:r>
          </w:p>
        </w:tc>
      </w:tr>
      <w:tr w:rsidR="003226A5" w:rsidRPr="003226A5">
        <w:trPr>
          <w:jc w:val="center"/>
        </w:trPr>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LSTM</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38.22</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14.44</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8.49</w:t>
            </w:r>
          </w:p>
        </w:tc>
        <w:tc>
          <w:tcPr>
            <w:tcW w:w="1728"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52.95%</w:t>
            </w:r>
          </w:p>
        </w:tc>
      </w:tr>
    </w:tbl>
    <w:p w:rsidR="00F73469" w:rsidRPr="003226A5" w:rsidRDefault="00F73469" w:rsidP="003226A5">
      <w:pPr>
        <w:spacing w:after="300"/>
        <w:rPr>
          <w:rFonts w:ascii="Times New Roman" w:hAnsi="Times New Roman" w:cs="Times New Roman"/>
          <w:color w:val="000000" w:themeColor="text1"/>
          <w:sz w:val="24"/>
          <w:szCs w:val="24"/>
        </w:rPr>
      </w:pP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Descriptive share of the sum of the five fold RMSE values, not a standard inferential statistic.</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Netflix pattern. </w:t>
      </w:r>
      <w:r w:rsidRPr="003226A5">
        <w:rPr>
          <w:rFonts w:ascii="Times New Roman" w:hAnsi="Times New Roman" w:cs="Times New Roman"/>
          <w:color w:val="000000" w:themeColor="text1"/>
          <w:sz w:val="24"/>
          <w:szCs w:val="24"/>
        </w:rPr>
        <w:t>Fold 2 is the worst fold for five of six models. For RF, XGB, and raw LSTM, that one fold</w:t>
      </w:r>
      <w:r w:rsidRPr="003226A5">
        <w:rPr>
          <w:rFonts w:ascii="Times New Roman" w:hAnsi="Times New Roman" w:cs="Times New Roman"/>
          <w:color w:val="000000" w:themeColor="text1"/>
          <w:sz w:val="24"/>
          <w:szCs w:val="24"/>
        </w:rPr>
        <w:t xml:space="preserve"> contributes more than half of the summed fold RMSE values. Removing it reduces LSTM mean RMSE from 38.23 to 19.29 and RF from 48.66 to 27.49.</w:t>
      </w:r>
    </w:p>
    <w:p w:rsidR="00F73469"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Apple pattern. </w:t>
      </w:r>
      <w:r w:rsidRPr="003226A5">
        <w:rPr>
          <w:rFonts w:ascii="Times New Roman" w:hAnsi="Times New Roman" w:cs="Times New Roman"/>
          <w:color w:val="000000" w:themeColor="text1"/>
          <w:sz w:val="24"/>
          <w:szCs w:val="24"/>
        </w:rPr>
        <w:t>Failures are less uniform across models. Fold 2 is worst for LR, DT, RF, and LSTM, while XGB fails</w:t>
      </w:r>
      <w:r w:rsidRPr="003226A5">
        <w:rPr>
          <w:rFonts w:ascii="Times New Roman" w:hAnsi="Times New Roman" w:cs="Times New Roman"/>
          <w:color w:val="000000" w:themeColor="text1"/>
          <w:sz w:val="24"/>
          <w:szCs w:val="24"/>
        </w:rPr>
        <w:t xml:space="preserve"> most in Fold 5 and MLP in Fold 1. Apple LR is especially period-sensitive: its mean falls from 18.03 to 8.44 when its worst fold is excluded.</w:t>
      </w:r>
    </w:p>
    <w:p w:rsidR="003226A5" w:rsidRPr="003226A5" w:rsidRDefault="003226A5" w:rsidP="003226A5">
      <w:pPr>
        <w:spacing w:after="300"/>
        <w:rPr>
          <w:rFonts w:ascii="Times New Roman" w:hAnsi="Times New Roman" w:cs="Times New Roman"/>
          <w:color w:val="000000" w:themeColor="text1"/>
          <w:sz w:val="24"/>
          <w:szCs w:val="24"/>
        </w:rPr>
      </w:pP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6. Target-Range Shift Helps Characterize Difficult Periods</w:t>
      </w:r>
    </w:p>
    <w:tbl>
      <w:tblPr>
        <w:tblStyle w:val="TableGrid"/>
        <w:tblW w:w="0" w:type="auto"/>
        <w:jc w:val="center"/>
        <w:tblLook w:val="04A0" w:firstRow="1" w:lastRow="0" w:firstColumn="1" w:lastColumn="0" w:noHBand="0" w:noVBand="1"/>
      </w:tblPr>
      <w:tblGrid>
        <w:gridCol w:w="3452"/>
        <w:gridCol w:w="3453"/>
        <w:gridCol w:w="3453"/>
      </w:tblGrid>
      <w:tr w:rsidR="00A90221" w:rsidRPr="003226A5">
        <w:trPr>
          <w:jc w:val="center"/>
        </w:trPr>
        <w:tc>
          <w:tcPr>
            <w:tcW w:w="3456"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Dataset / Fold</w:t>
            </w:r>
          </w:p>
        </w:tc>
        <w:tc>
          <w:tcPr>
            <w:tcW w:w="3456"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Test targets above training maximum</w:t>
            </w:r>
          </w:p>
        </w:tc>
        <w:tc>
          <w:tcPr>
            <w:tcW w:w="3456" w:type="dxa"/>
            <w:shd w:val="clear" w:color="auto" w:fill="DCE6F1"/>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Upp</w:t>
            </w:r>
            <w:r w:rsidRPr="003226A5">
              <w:rPr>
                <w:rFonts w:ascii="Times New Roman" w:hAnsi="Times New Roman" w:cs="Times New Roman"/>
                <w:b/>
                <w:color w:val="000000" w:themeColor="text1"/>
                <w:sz w:val="24"/>
                <w:szCs w:val="24"/>
              </w:rPr>
              <w:t>er range extension</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1</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23.15%</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$30.80</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2</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94.03%</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$261.72</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3</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21.72%</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$137.58</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4</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23.87%</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$135.14</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NFLX 5</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0.00%</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$0.00</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1</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70.15%</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$13.66</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2</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87.31%</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$84.39</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3</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71.39%</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$38.91</w:t>
            </w:r>
          </w:p>
        </w:tc>
      </w:tr>
      <w:tr w:rsidR="00A90221"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4</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33.58%</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$17.99</w:t>
            </w:r>
          </w:p>
        </w:tc>
      </w:tr>
      <w:tr w:rsidR="003226A5" w:rsidRPr="003226A5">
        <w:trPr>
          <w:jc w:val="center"/>
        </w:trPr>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AAPL 5</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92.79%</w:t>
            </w:r>
          </w:p>
        </w:tc>
        <w:tc>
          <w:tcPr>
            <w:tcW w:w="3456" w:type="dxa"/>
            <w:vAlign w:val="center"/>
          </w:tcPr>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$89.93</w:t>
            </w:r>
          </w:p>
        </w:tc>
      </w:tr>
    </w:tbl>
    <w:p w:rsidR="00F73469" w:rsidRPr="003226A5" w:rsidRDefault="00F73469" w:rsidP="003226A5">
      <w:pPr>
        <w:spacing w:after="300"/>
        <w:rPr>
          <w:rFonts w:ascii="Times New Roman" w:hAnsi="Times New Roman" w:cs="Times New Roman"/>
          <w:color w:val="000000" w:themeColor="text1"/>
          <w:sz w:val="24"/>
          <w:szCs w:val="24"/>
        </w:rPr>
      </w:pP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Netflix Fold 2. </w:t>
      </w:r>
      <w:r w:rsidRPr="003226A5">
        <w:rPr>
          <w:rFonts w:ascii="Times New Roman" w:hAnsi="Times New Roman" w:cs="Times New Roman"/>
          <w:color w:val="000000" w:themeColor="text1"/>
          <w:sz w:val="24"/>
          <w:szCs w:val="24"/>
        </w:rPr>
        <w:t>Training targets ranged from $44.89 to $157.25, while test targets ranged from $146.17 to $418.97. About 94.03% of test targets exceeded the previous training maximum, with a $261.72 upper extension. This coincided with the worst fold for D</w:t>
      </w:r>
      <w:r w:rsidRPr="003226A5">
        <w:rPr>
          <w:rFonts w:ascii="Times New Roman" w:hAnsi="Times New Roman" w:cs="Times New Roman"/>
          <w:color w:val="000000" w:themeColor="text1"/>
          <w:sz w:val="24"/>
          <w:szCs w:val="24"/>
        </w:rPr>
        <w:t>T</w:t>
      </w:r>
      <w:bookmarkStart w:id="0" w:name="_GoBack"/>
      <w:bookmarkEnd w:id="0"/>
      <w:r w:rsidRPr="003226A5">
        <w:rPr>
          <w:rFonts w:ascii="Times New Roman" w:hAnsi="Times New Roman" w:cs="Times New Roman"/>
          <w:color w:val="000000" w:themeColor="text1"/>
          <w:sz w:val="24"/>
          <w:szCs w:val="24"/>
        </w:rPr>
        <w:t>, RF, XGB, MLP, and LSTM.</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Important counterexample. </w:t>
      </w:r>
      <w:r w:rsidRPr="003226A5">
        <w:rPr>
          <w:rFonts w:ascii="Times New Roman" w:hAnsi="Times New Roman" w:cs="Times New Roman"/>
          <w:color w:val="000000" w:themeColor="text1"/>
          <w:sz w:val="24"/>
          <w:szCs w:val="24"/>
        </w:rPr>
        <w:t>Linear Regression remained comparatively accurate in the same Netflix fold (RMSE 10.19), so extreme range shift does not automatically imply failure for every model.</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Apple Fold 5. </w:t>
      </w:r>
      <w:r w:rsidRPr="003226A5">
        <w:rPr>
          <w:rFonts w:ascii="Times New Roman" w:hAnsi="Times New Roman" w:cs="Times New Roman"/>
          <w:color w:val="000000" w:themeColor="text1"/>
          <w:sz w:val="24"/>
          <w:szCs w:val="24"/>
        </w:rPr>
        <w:t>About 92.79% of test ta</w:t>
      </w:r>
      <w:r w:rsidRPr="003226A5">
        <w:rPr>
          <w:rFonts w:ascii="Times New Roman" w:hAnsi="Times New Roman" w:cs="Times New Roman"/>
          <w:color w:val="000000" w:themeColor="text1"/>
          <w:sz w:val="24"/>
          <w:szCs w:val="24"/>
        </w:rPr>
        <w:t>rgets exceeded the previous training maximum, yet LR, MLP, and LSTM remained comparatively low-error (7.84, 6.32, and 8.44 RMSE) while DT, RF, and XGB remained much worse (39.37, 40.74, and 46.11).</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Interpretation. </w:t>
      </w:r>
      <w:r w:rsidRPr="003226A5">
        <w:rPr>
          <w:rFonts w:ascii="Times New Roman" w:hAnsi="Times New Roman" w:cs="Times New Roman"/>
          <w:color w:val="000000" w:themeColor="text1"/>
          <w:sz w:val="24"/>
          <w:szCs w:val="24"/>
        </w:rPr>
        <w:t>Target-range extrapolation is a useful cha</w:t>
      </w:r>
      <w:r w:rsidRPr="003226A5">
        <w:rPr>
          <w:rFonts w:ascii="Times New Roman" w:hAnsi="Times New Roman" w:cs="Times New Roman"/>
          <w:color w:val="000000" w:themeColor="text1"/>
          <w:sz w:val="24"/>
          <w:szCs w:val="24"/>
        </w:rPr>
        <w:t>racteristic of several difficult future periods, but it is not a sufficient explanation by itself. Temporal difficulty interacts with model behavior, dataset characteristics, and the specific future period.</w:t>
      </w:r>
    </w:p>
    <w:p w:rsidR="003226A5"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7. What the Results Support</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Random splitting pr</w:t>
      </w:r>
      <w:r w:rsidRPr="003226A5">
        <w:rPr>
          <w:rFonts w:ascii="Times New Roman" w:hAnsi="Times New Roman" w:cs="Times New Roman"/>
          <w:color w:val="000000" w:themeColor="text1"/>
          <w:sz w:val="24"/>
          <w:szCs w:val="24"/>
        </w:rPr>
        <w:t>oduced lower RMSE than walk-forward validation in all 10 directly comparable model-dataset cases.</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The magnitude of validation optimism was strongly model- and dataset-dependent rather than a constant penalty.</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Validation choice can alter model selection</w:t>
      </w:r>
      <w:r w:rsidRPr="003226A5">
        <w:rPr>
          <w:rFonts w:ascii="Times New Roman" w:hAnsi="Times New Roman" w:cs="Times New Roman"/>
          <w:color w:val="000000" w:themeColor="text1"/>
          <w:sz w:val="24"/>
          <w:szCs w:val="24"/>
        </w:rPr>
        <w:t>: this occurred on Apple but not Netflix.</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Walk-forward evaluation exposed instability across future periods that a single random holdout score would not reveal.</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Extreme target-range shifts coincided with several major failures, particularly for tree-ba</w:t>
      </w:r>
      <w:r w:rsidRPr="003226A5">
        <w:rPr>
          <w:rFonts w:ascii="Times New Roman" w:hAnsi="Times New Roman" w:cs="Times New Roman"/>
          <w:color w:val="000000" w:themeColor="text1"/>
          <w:sz w:val="24"/>
          <w:szCs w:val="24"/>
        </w:rPr>
        <w:t>sed models, but did not fully explain performance.</w:t>
      </w:r>
    </w:p>
    <w:p w:rsidR="00F73469" w:rsidRPr="003226A5" w:rsidRDefault="00EA132F" w:rsidP="003226A5">
      <w:pPr>
        <w:pStyle w:val="ListParagraph"/>
        <w:numPr>
          <w:ilvl w:val="0"/>
          <w:numId w:val="11"/>
        </w:numPr>
        <w:spacing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The strongest defensible conclusion is about evaluation realism under temporal change, not that random splitting is universally invalid for every time series.</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8. How These Findings Fit the Literature</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Cor</w:t>
      </w:r>
      <w:r w:rsidRPr="003226A5">
        <w:rPr>
          <w:rFonts w:ascii="Times New Roman" w:hAnsi="Times New Roman" w:cs="Times New Roman"/>
          <w:b/>
          <w:color w:val="000000" w:themeColor="text1"/>
          <w:sz w:val="24"/>
          <w:szCs w:val="24"/>
        </w:rPr>
        <w:t xml:space="preserve">e validation literature. </w:t>
      </w:r>
      <w:r w:rsidRPr="003226A5">
        <w:rPr>
          <w:rFonts w:ascii="Times New Roman" w:hAnsi="Times New Roman" w:cs="Times New Roman"/>
          <w:color w:val="000000" w:themeColor="text1"/>
          <w:sz w:val="24"/>
          <w:szCs w:val="24"/>
        </w:rPr>
        <w:t>Bergmeir &amp; Benitez (2012) provides an important counterpoint: ordinary cross-validation did not show major practical consequences in all of their time-series experiments, preventing an overly broad claim. Schnaubelt (2019) is close</w:t>
      </w:r>
      <w:r w:rsidRPr="003226A5">
        <w:rPr>
          <w:rFonts w:ascii="Times New Roman" w:hAnsi="Times New Roman" w:cs="Times New Roman"/>
          <w:color w:val="000000" w:themeColor="text1"/>
          <w:sz w:val="24"/>
          <w:szCs w:val="24"/>
        </w:rPr>
        <w:t>r to the present setting because it studies non-stationary time series and reports that forward-validation schemes can better estimate future error as the data-generating process evolves.</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Finance context. </w:t>
      </w:r>
      <w:r w:rsidRPr="003226A5">
        <w:rPr>
          <w:rFonts w:ascii="Times New Roman" w:hAnsi="Times New Roman" w:cs="Times New Roman"/>
          <w:color w:val="000000" w:themeColor="text1"/>
          <w:sz w:val="24"/>
          <w:szCs w:val="24"/>
        </w:rPr>
        <w:t>Timmermann (2018) motivates why this matters in fin</w:t>
      </w:r>
      <w:r w:rsidRPr="003226A5">
        <w:rPr>
          <w:rFonts w:ascii="Times New Roman" w:hAnsi="Times New Roman" w:cs="Times New Roman"/>
          <w:color w:val="000000" w:themeColor="text1"/>
          <w:sz w:val="24"/>
          <w:szCs w:val="24"/>
        </w:rPr>
        <w:t>ance: low signal-to-noise ratios, changing predictive relationships, instability, and data-mining risk make out-of-sample evaluation especially consequential.</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Applied financial ML practice. </w:t>
      </w:r>
      <w:r w:rsidRPr="003226A5">
        <w:rPr>
          <w:rFonts w:ascii="Times New Roman" w:hAnsi="Times New Roman" w:cs="Times New Roman"/>
          <w:color w:val="000000" w:themeColor="text1"/>
          <w:sz w:val="24"/>
          <w:szCs w:val="24"/>
        </w:rPr>
        <w:t xml:space="preserve">The working literature review includes studies that use random or </w:t>
      </w:r>
      <w:r w:rsidRPr="003226A5">
        <w:rPr>
          <w:rFonts w:ascii="Times New Roman" w:hAnsi="Times New Roman" w:cs="Times New Roman"/>
          <w:color w:val="000000" w:themeColor="text1"/>
          <w:sz w:val="24"/>
          <w:szCs w:val="24"/>
        </w:rPr>
        <w:t>ordinary k-fold evaluation in stock/financial prediction. Villamil et al. explicitly use a random 60/20/20 split with shuffling; Chen &amp; Li explicitly describe a random 80/20 split; Ampomah et al. use ten-fold cross-validation; Varaku directly contrasts ran</w:t>
      </w:r>
      <w:r w:rsidRPr="003226A5">
        <w:rPr>
          <w:rFonts w:ascii="Times New Roman" w:hAnsi="Times New Roman" w:cs="Times New Roman"/>
          <w:color w:val="000000" w:themeColor="text1"/>
          <w:sz w:val="24"/>
          <w:szCs w:val="24"/>
        </w:rPr>
        <w:t>dom and non-random splitting; and other applied examples use k-fold or random splitting. These papers establish that the validation practice being tested is not hypothetical. They should not be cited as proof that their own reported performance was inflate</w:t>
      </w:r>
      <w:r w:rsidRPr="003226A5">
        <w:rPr>
          <w:rFonts w:ascii="Times New Roman" w:hAnsi="Times New Roman" w:cs="Times New Roman"/>
          <w:color w:val="000000" w:themeColor="text1"/>
          <w:sz w:val="24"/>
          <w:szCs w:val="24"/>
        </w:rPr>
        <w:t>d unless they directly test that question.</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Extrapolation interpretation. </w:t>
      </w:r>
      <w:r w:rsidRPr="003226A5">
        <w:rPr>
          <w:rFonts w:ascii="Times New Roman" w:hAnsi="Times New Roman" w:cs="Times New Roman"/>
          <w:color w:val="000000" w:themeColor="text1"/>
          <w:sz w:val="24"/>
          <w:szCs w:val="24"/>
        </w:rPr>
        <w:t>Muckley et al. (2023) is useful for the interpolation-versus-extrapolation distinction: strong performance within a familiar distribution does not guarantee similar behavior when pred</w:t>
      </w:r>
      <w:r w:rsidRPr="003226A5">
        <w:rPr>
          <w:rFonts w:ascii="Times New Roman" w:hAnsi="Times New Roman" w:cs="Times New Roman"/>
          <w:color w:val="000000" w:themeColor="text1"/>
          <w:sz w:val="24"/>
          <w:szCs w:val="24"/>
        </w:rPr>
        <w:t>ictions move outside the represented training regime. Kaufman et al. (2012) supplies the broader leakage/evaluation-realism framework, although “temporal mixing” or “unrealistic validation” is safer terminology here than automatically labeling the random s</w:t>
      </w:r>
      <w:r w:rsidRPr="003226A5">
        <w:rPr>
          <w:rFonts w:ascii="Times New Roman" w:hAnsi="Times New Roman" w:cs="Times New Roman"/>
          <w:color w:val="000000" w:themeColor="text1"/>
          <w:sz w:val="24"/>
          <w:szCs w:val="24"/>
        </w:rPr>
        <w:t>plit literal leakage.</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Present extension. </w:t>
      </w:r>
      <w:r w:rsidRPr="003226A5">
        <w:rPr>
          <w:rFonts w:ascii="Times New Roman" w:hAnsi="Times New Roman" w:cs="Times New Roman"/>
          <w:color w:val="000000" w:themeColor="text1"/>
          <w:sz w:val="24"/>
          <w:szCs w:val="24"/>
        </w:rPr>
        <w:t xml:space="preserve">This experiment holds the datasets and model families fixed while comparing random, chronological, and expanding walk-forward protocols, then examines not only aggregate RMSE but model-rank changes, fold-level </w:t>
      </w:r>
      <w:r w:rsidRPr="003226A5">
        <w:rPr>
          <w:rFonts w:ascii="Times New Roman" w:hAnsi="Times New Roman" w:cs="Times New Roman"/>
          <w:color w:val="000000" w:themeColor="text1"/>
          <w:sz w:val="24"/>
          <w:szCs w:val="24"/>
        </w:rPr>
        <w:t>instability, and target-range extrapolation. The contribution is therefore a controlled empirical demonstration of how validation choice changes the conclusions drawn from financial ML experiments.</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9. Current Conclusion</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Across Apple and Netflix next-day pr</w:t>
      </w:r>
      <w:r w:rsidRPr="003226A5">
        <w:rPr>
          <w:rFonts w:ascii="Times New Roman" w:hAnsi="Times New Roman" w:cs="Times New Roman"/>
          <w:b/>
          <w:color w:val="000000" w:themeColor="text1"/>
          <w:sz w:val="24"/>
          <w:szCs w:val="24"/>
        </w:rPr>
        <w:t>ice forecasting experiments, random train-test splitting consistently produced more optimistic error estimates than expanding walk-forward evaluation for every directly comparable model. However, the magnitude of this optimism varied substantially by model</w:t>
      </w:r>
      <w:r w:rsidRPr="003226A5">
        <w:rPr>
          <w:rFonts w:ascii="Times New Roman" w:hAnsi="Times New Roman" w:cs="Times New Roman"/>
          <w:b/>
          <w:color w:val="000000" w:themeColor="text1"/>
          <w:sz w:val="24"/>
          <w:szCs w:val="24"/>
        </w:rPr>
        <w:t xml:space="preserve"> and dataset. Walk-forward evaluation additionally exposed strong period-specific instability and, on Apple, materially changed model rankings. Several high-error periods coincided with future target prices extending beyond the range represented in the tra</w:t>
      </w:r>
      <w:r w:rsidRPr="003226A5">
        <w:rPr>
          <w:rFonts w:ascii="Times New Roman" w:hAnsi="Times New Roman" w:cs="Times New Roman"/>
          <w:b/>
          <w:color w:val="000000" w:themeColor="text1"/>
          <w:sz w:val="24"/>
          <w:szCs w:val="24"/>
        </w:rPr>
        <w:t>ining history, especially for tree-based models, but extrapolation magnitude alone did not determine forecasting error. Overall, the results indicate that validation strategy can materially alter conclusions about expected forecasting accuracy, temporal ro</w:t>
      </w:r>
      <w:r w:rsidRPr="003226A5">
        <w:rPr>
          <w:rFonts w:ascii="Times New Roman" w:hAnsi="Times New Roman" w:cs="Times New Roman"/>
          <w:b/>
          <w:color w:val="000000" w:themeColor="text1"/>
          <w:sz w:val="24"/>
          <w:szCs w:val="24"/>
        </w:rPr>
        <w:t>bustness, and in some cases which model appears preferable.</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10. Limitations and Decisions </w:t>
      </w:r>
      <w:proofErr w:type="gramStart"/>
      <w:r w:rsidRPr="003226A5">
        <w:rPr>
          <w:rFonts w:ascii="Times New Roman" w:hAnsi="Times New Roman" w:cs="Times New Roman"/>
          <w:color w:val="000000" w:themeColor="text1"/>
          <w:sz w:val="24"/>
          <w:szCs w:val="24"/>
        </w:rPr>
        <w:t>Before</w:t>
      </w:r>
      <w:proofErr w:type="gramEnd"/>
      <w:r w:rsidRPr="003226A5">
        <w:rPr>
          <w:rFonts w:ascii="Times New Roman" w:hAnsi="Times New Roman" w:cs="Times New Roman"/>
          <w:color w:val="000000" w:themeColor="text1"/>
          <w:sz w:val="24"/>
          <w:szCs w:val="24"/>
        </w:rPr>
        <w:t xml:space="preserve"> Final Submission</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The target is raw next-day closing price. Because price levels trend, some walk-forward folds become strong extrapolation tasks. Consider wh</w:t>
      </w:r>
      <w:r w:rsidRPr="003226A5">
        <w:rPr>
          <w:rFonts w:ascii="Times New Roman" w:hAnsi="Times New Roman" w:cs="Times New Roman"/>
          <w:color w:val="000000" w:themeColor="text1"/>
          <w:sz w:val="24"/>
          <w:szCs w:val="24"/>
        </w:rPr>
        <w:t>ether next-day return or percentage change should be added as a robustness experiment rather than replacing the current experiment.</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The empirical evidence currently covers two equities. This supports cross-dataset comparison but not universal generalizat</w:t>
      </w:r>
      <w:r w:rsidRPr="003226A5">
        <w:rPr>
          <w:rFonts w:ascii="Times New Roman" w:hAnsi="Times New Roman" w:cs="Times New Roman"/>
          <w:color w:val="000000" w:themeColor="text1"/>
          <w:sz w:val="24"/>
          <w:szCs w:val="24"/>
        </w:rPr>
        <w:t>ion to financial markets.</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The LSTM random-vs-walk comparison is incomplete and should remain separate unless a matched random protocol is run.</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 xml:space="preserve">Hyperparameter tuning and preprocessing should be audited to ensure all learned transformations are fit only </w:t>
      </w:r>
      <w:r w:rsidRPr="003226A5">
        <w:rPr>
          <w:rFonts w:ascii="Times New Roman" w:hAnsi="Times New Roman" w:cs="Times New Roman"/>
          <w:color w:val="000000" w:themeColor="text1"/>
          <w:sz w:val="24"/>
          <w:szCs w:val="24"/>
        </w:rPr>
        <w:t>on training data within each temporal split.</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The rank correlations involve only five models and should be interpreted descriptively.</w:t>
      </w:r>
    </w:p>
    <w:p w:rsidR="00F73469" w:rsidRPr="003226A5" w:rsidRDefault="00EA132F" w:rsidP="003226A5">
      <w:pPr>
        <w:spacing w:after="300"/>
        <w:ind w:left="259" w:hanging="202"/>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 </w:t>
      </w:r>
      <w:r w:rsidRPr="003226A5">
        <w:rPr>
          <w:rFonts w:ascii="Times New Roman" w:hAnsi="Times New Roman" w:cs="Times New Roman"/>
          <w:color w:val="000000" w:themeColor="text1"/>
          <w:sz w:val="24"/>
          <w:szCs w:val="24"/>
        </w:rPr>
        <w:t xml:space="preserve">The target-range analysis is descriptive. It identifies a plausible characteristic of difficult periods but does not </w:t>
      </w:r>
      <w:r w:rsidRPr="003226A5">
        <w:rPr>
          <w:rFonts w:ascii="Times New Roman" w:hAnsi="Times New Roman" w:cs="Times New Roman"/>
          <w:color w:val="000000" w:themeColor="text1"/>
          <w:sz w:val="24"/>
          <w:szCs w:val="24"/>
        </w:rPr>
        <w:t>establish a causal mechanism.</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11. Questions for Prof. Veksler</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1. </w:t>
      </w:r>
      <w:r w:rsidRPr="003226A5">
        <w:rPr>
          <w:rFonts w:ascii="Times New Roman" w:hAnsi="Times New Roman" w:cs="Times New Roman"/>
          <w:color w:val="000000" w:themeColor="text1"/>
          <w:sz w:val="24"/>
          <w:szCs w:val="24"/>
        </w:rPr>
        <w:t>Should raw next-day price remain the primary target, with next-day return / percentage change added as a robustness check?</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2. </w:t>
      </w:r>
      <w:r w:rsidRPr="003226A5">
        <w:rPr>
          <w:rFonts w:ascii="Times New Roman" w:hAnsi="Times New Roman" w:cs="Times New Roman"/>
          <w:color w:val="000000" w:themeColor="text1"/>
          <w:sz w:val="24"/>
          <w:szCs w:val="24"/>
        </w:rPr>
        <w:t>Should the final paper emphasize the five directly comparable mod</w:t>
      </w:r>
      <w:r w:rsidRPr="003226A5">
        <w:rPr>
          <w:rFonts w:ascii="Times New Roman" w:hAnsi="Times New Roman" w:cs="Times New Roman"/>
          <w:color w:val="000000" w:themeColor="text1"/>
          <w:sz w:val="24"/>
          <w:szCs w:val="24"/>
        </w:rPr>
        <w:t>els and treat raw LSTM as a secondary experiment?</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3. </w:t>
      </w:r>
      <w:r w:rsidRPr="003226A5">
        <w:rPr>
          <w:rFonts w:ascii="Times New Roman" w:hAnsi="Times New Roman" w:cs="Times New Roman"/>
          <w:color w:val="000000" w:themeColor="text1"/>
          <w:sz w:val="24"/>
          <w:szCs w:val="24"/>
        </w:rPr>
        <w:t>Should target-range shift remain an explanatory diagnostic, or become a formal secondary research question?</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t xml:space="preserve">4. </w:t>
      </w:r>
      <w:proofErr w:type="gramStart"/>
      <w:r w:rsidRPr="003226A5">
        <w:rPr>
          <w:rFonts w:ascii="Times New Roman" w:hAnsi="Times New Roman" w:cs="Times New Roman"/>
          <w:color w:val="000000" w:themeColor="text1"/>
          <w:sz w:val="24"/>
          <w:szCs w:val="24"/>
        </w:rPr>
        <w:t>Is</w:t>
      </w:r>
      <w:proofErr w:type="gramEnd"/>
      <w:r w:rsidRPr="003226A5">
        <w:rPr>
          <w:rFonts w:ascii="Times New Roman" w:hAnsi="Times New Roman" w:cs="Times New Roman"/>
          <w:color w:val="000000" w:themeColor="text1"/>
          <w:sz w:val="24"/>
          <w:szCs w:val="24"/>
        </w:rPr>
        <w:t xml:space="preserve"> two-stock replication appropriate for the STEM Advance scope, or should another asset be </w:t>
      </w:r>
      <w:r w:rsidRPr="003226A5">
        <w:rPr>
          <w:rFonts w:ascii="Times New Roman" w:hAnsi="Times New Roman" w:cs="Times New Roman"/>
          <w:color w:val="000000" w:themeColor="text1"/>
          <w:sz w:val="24"/>
          <w:szCs w:val="24"/>
        </w:rPr>
        <w:t>added only after the methodology is frozen?</w:t>
      </w:r>
    </w:p>
    <w:p w:rsidR="00F73469" w:rsidRPr="003226A5" w:rsidRDefault="00EA132F" w:rsidP="003226A5">
      <w:pPr>
        <w:spacing w:after="300"/>
        <w:rPr>
          <w:rFonts w:ascii="Times New Roman" w:hAnsi="Times New Roman" w:cs="Times New Roman"/>
          <w:color w:val="000000" w:themeColor="text1"/>
          <w:sz w:val="24"/>
          <w:szCs w:val="24"/>
        </w:rPr>
      </w:pPr>
      <w:r w:rsidRPr="003226A5">
        <w:rPr>
          <w:rFonts w:ascii="Times New Roman" w:hAnsi="Times New Roman" w:cs="Times New Roman"/>
          <w:b/>
          <w:color w:val="000000" w:themeColor="text1"/>
          <w:sz w:val="24"/>
          <w:szCs w:val="24"/>
        </w:rPr>
        <w:lastRenderedPageBreak/>
        <w:t xml:space="preserve">5. </w:t>
      </w:r>
      <w:r w:rsidRPr="003226A5">
        <w:rPr>
          <w:rFonts w:ascii="Times New Roman" w:hAnsi="Times New Roman" w:cs="Times New Roman"/>
          <w:color w:val="000000" w:themeColor="text1"/>
          <w:sz w:val="24"/>
          <w:szCs w:val="24"/>
        </w:rPr>
        <w:t>Does the current contribution framing match the intended scope: quantifying validation optimism, ranking instability, and period-specific robustness under realistic temporal evaluation?</w:t>
      </w:r>
    </w:p>
    <w:p w:rsidR="00F73469" w:rsidRPr="003226A5" w:rsidRDefault="00EA132F" w:rsidP="003226A5">
      <w:pPr>
        <w:pStyle w:val="Heading1"/>
        <w:spacing w:before="0" w:after="300"/>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12. Working References </w:t>
      </w:r>
      <w:r w:rsidRPr="003226A5">
        <w:rPr>
          <w:rFonts w:ascii="Times New Roman" w:hAnsi="Times New Roman" w:cs="Times New Roman"/>
          <w:color w:val="000000" w:themeColor="text1"/>
          <w:sz w:val="24"/>
          <w:szCs w:val="24"/>
        </w:rPr>
        <w:t>Relevant to Results Interpretation</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Bergmeir, C., &amp; Benitez, J. M. (2012). On the use of cross-validation for time series predictor evaluation. Information Sciences, 191, 192-213.</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Schnaubelt, M. (2019). A comparison of machine learning model validation sche</w:t>
      </w:r>
      <w:r w:rsidRPr="003226A5">
        <w:rPr>
          <w:rFonts w:ascii="Times New Roman" w:hAnsi="Times New Roman" w:cs="Times New Roman"/>
          <w:color w:val="000000" w:themeColor="text1"/>
          <w:sz w:val="24"/>
          <w:szCs w:val="24"/>
        </w:rPr>
        <w:t>mes for non-stationary time series data. FAU Discussion Papers in Economics, No. 11/2019.</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Timmermann, A. (2018). Forecasting methods in finance. Annual Review of Financial Economics, 10, 449-479.</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Kaufman, S., Rosset, S., Perlich, C., &amp; Stitelman, O. (2012)</w:t>
      </w:r>
      <w:r w:rsidRPr="003226A5">
        <w:rPr>
          <w:rFonts w:ascii="Times New Roman" w:hAnsi="Times New Roman" w:cs="Times New Roman"/>
          <w:color w:val="000000" w:themeColor="text1"/>
          <w:sz w:val="24"/>
          <w:szCs w:val="24"/>
        </w:rPr>
        <w:t>. Leakage in data mining: Formulation, detection, and avoidance. ACM Transactions on Knowledge Discovery from Data, 6(4), Article 15.</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Muckley, E. S., Saal, J. E., Meredig, B., Roper, C. S., &amp; Martin, J. H. (2023). Interpretable models for extrapolation in </w:t>
      </w:r>
      <w:r w:rsidRPr="003226A5">
        <w:rPr>
          <w:rFonts w:ascii="Times New Roman" w:hAnsi="Times New Roman" w:cs="Times New Roman"/>
          <w:color w:val="000000" w:themeColor="text1"/>
          <w:sz w:val="24"/>
          <w:szCs w:val="24"/>
        </w:rPr>
        <w:t>scientific machine learning. Digital Discovery, 2, 1425-1435.</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Varaku, K. (2019). Stock Price Forecasting and Hypothesis Testing Using Neural Networks. </w:t>
      </w:r>
      <w:proofErr w:type="gramStart"/>
      <w:r w:rsidRPr="003226A5">
        <w:rPr>
          <w:rFonts w:ascii="Times New Roman" w:hAnsi="Times New Roman" w:cs="Times New Roman"/>
          <w:color w:val="000000" w:themeColor="text1"/>
          <w:sz w:val="24"/>
          <w:szCs w:val="24"/>
        </w:rPr>
        <w:t>arXiv:</w:t>
      </w:r>
      <w:proofErr w:type="gramEnd"/>
      <w:r w:rsidRPr="003226A5">
        <w:rPr>
          <w:rFonts w:ascii="Times New Roman" w:hAnsi="Times New Roman" w:cs="Times New Roman"/>
          <w:color w:val="000000" w:themeColor="text1"/>
          <w:sz w:val="24"/>
          <w:szCs w:val="24"/>
        </w:rPr>
        <w:t>1908.11212.</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Ampomah, E. K., Qin, Z., &amp; Nyame, G. (2020). Evaluation of Tree-Based Ensemble Machine </w:t>
      </w:r>
      <w:r w:rsidRPr="003226A5">
        <w:rPr>
          <w:rFonts w:ascii="Times New Roman" w:hAnsi="Times New Roman" w:cs="Times New Roman"/>
          <w:color w:val="000000" w:themeColor="text1"/>
          <w:sz w:val="24"/>
          <w:szCs w:val="24"/>
        </w:rPr>
        <w:t>Learning Models in Predicting Stock Price Direction of Movement. Information, 11(6), 332.</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Villamil, L., Bausback, R., Salman, S., Liu, T. L., Horn, C., &amp; Liu, X. (2023). Improved Stock Price Movement Classification Using News Articles Based on Embeddings a</w:t>
      </w:r>
      <w:r w:rsidRPr="003226A5">
        <w:rPr>
          <w:rFonts w:ascii="Times New Roman" w:hAnsi="Times New Roman" w:cs="Times New Roman"/>
          <w:color w:val="000000" w:themeColor="text1"/>
          <w:sz w:val="24"/>
          <w:szCs w:val="24"/>
        </w:rPr>
        <w:t xml:space="preserve">nd Label Smoothing. </w:t>
      </w:r>
      <w:proofErr w:type="gramStart"/>
      <w:r w:rsidRPr="003226A5">
        <w:rPr>
          <w:rFonts w:ascii="Times New Roman" w:hAnsi="Times New Roman" w:cs="Times New Roman"/>
          <w:color w:val="000000" w:themeColor="text1"/>
          <w:sz w:val="24"/>
          <w:szCs w:val="24"/>
        </w:rPr>
        <w:t>arXiv:</w:t>
      </w:r>
      <w:proofErr w:type="gramEnd"/>
      <w:r w:rsidRPr="003226A5">
        <w:rPr>
          <w:rFonts w:ascii="Times New Roman" w:hAnsi="Times New Roman" w:cs="Times New Roman"/>
          <w:color w:val="000000" w:themeColor="text1"/>
          <w:sz w:val="24"/>
          <w:szCs w:val="24"/>
        </w:rPr>
        <w:t>2301.10458.</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Chen, J., &amp; Li, X. (2023). Analysis of frequent trading effects of various machine learning models. </w:t>
      </w:r>
      <w:proofErr w:type="gramStart"/>
      <w:r w:rsidRPr="003226A5">
        <w:rPr>
          <w:rFonts w:ascii="Times New Roman" w:hAnsi="Times New Roman" w:cs="Times New Roman"/>
          <w:color w:val="000000" w:themeColor="text1"/>
          <w:sz w:val="24"/>
          <w:szCs w:val="24"/>
        </w:rPr>
        <w:t>arXiv:</w:t>
      </w:r>
      <w:proofErr w:type="gramEnd"/>
      <w:r w:rsidRPr="003226A5">
        <w:rPr>
          <w:rFonts w:ascii="Times New Roman" w:hAnsi="Times New Roman" w:cs="Times New Roman"/>
          <w:color w:val="000000" w:themeColor="text1"/>
          <w:sz w:val="24"/>
          <w:szCs w:val="24"/>
        </w:rPr>
        <w:t>2311.10719.</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 xml:space="preserve">Khaidem, L., Saha, S., &amp; Dey, S. R. (2016). Predicting the direction of stock market prices using </w:t>
      </w:r>
      <w:r w:rsidRPr="003226A5">
        <w:rPr>
          <w:rFonts w:ascii="Times New Roman" w:hAnsi="Times New Roman" w:cs="Times New Roman"/>
          <w:color w:val="000000" w:themeColor="text1"/>
          <w:sz w:val="24"/>
          <w:szCs w:val="24"/>
        </w:rPr>
        <w:t xml:space="preserve">random forest. </w:t>
      </w:r>
      <w:proofErr w:type="gramStart"/>
      <w:r w:rsidRPr="003226A5">
        <w:rPr>
          <w:rFonts w:ascii="Times New Roman" w:hAnsi="Times New Roman" w:cs="Times New Roman"/>
          <w:color w:val="000000" w:themeColor="text1"/>
          <w:sz w:val="24"/>
          <w:szCs w:val="24"/>
        </w:rPr>
        <w:t>arXiv:</w:t>
      </w:r>
      <w:proofErr w:type="gramEnd"/>
      <w:r w:rsidRPr="003226A5">
        <w:rPr>
          <w:rFonts w:ascii="Times New Roman" w:hAnsi="Times New Roman" w:cs="Times New Roman"/>
          <w:color w:val="000000" w:themeColor="text1"/>
          <w:sz w:val="24"/>
          <w:szCs w:val="24"/>
        </w:rPr>
        <w:t>1605.00003.</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Xiao, Q., et al. (2023). Stock trend prediction using sentiment analysis. PeerJ Computer Science, 9, e1293.</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LeBaron, B., &amp; Weigend, A. S. A Bootstrap Evaluation of the Effect of Data Splitting on Financial Time Series. [Ver</w:t>
      </w:r>
      <w:r w:rsidRPr="003226A5">
        <w:rPr>
          <w:rFonts w:ascii="Times New Roman" w:hAnsi="Times New Roman" w:cs="Times New Roman"/>
          <w:color w:val="000000" w:themeColor="text1"/>
          <w:sz w:val="24"/>
          <w:szCs w:val="24"/>
        </w:rPr>
        <w:t>ify final bibliographic details.]</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t>Ryll, L., &amp; Seidens, S. Evaluating the Performance of Machine Learning Algorithms in Financial Market Forecasting: A Comprehensive Survey. [Verify final bibliographic details.]</w:t>
      </w:r>
    </w:p>
    <w:p w:rsidR="00F73469" w:rsidRPr="003226A5" w:rsidRDefault="00EA132F" w:rsidP="003226A5">
      <w:pPr>
        <w:spacing w:after="300"/>
        <w:ind w:left="317" w:hanging="317"/>
        <w:rPr>
          <w:rFonts w:ascii="Times New Roman" w:hAnsi="Times New Roman" w:cs="Times New Roman"/>
          <w:color w:val="000000" w:themeColor="text1"/>
          <w:sz w:val="24"/>
          <w:szCs w:val="24"/>
        </w:rPr>
      </w:pPr>
      <w:r w:rsidRPr="003226A5">
        <w:rPr>
          <w:rFonts w:ascii="Times New Roman" w:hAnsi="Times New Roman" w:cs="Times New Roman"/>
          <w:color w:val="000000" w:themeColor="text1"/>
          <w:sz w:val="24"/>
          <w:szCs w:val="24"/>
        </w:rPr>
        <w:lastRenderedPageBreak/>
        <w:t xml:space="preserve">Additional temporal-robustness papers in the </w:t>
      </w:r>
      <w:r w:rsidRPr="003226A5">
        <w:rPr>
          <w:rFonts w:ascii="Times New Roman" w:hAnsi="Times New Roman" w:cs="Times New Roman"/>
          <w:color w:val="000000" w:themeColor="text1"/>
          <w:sz w:val="24"/>
          <w:szCs w:val="24"/>
        </w:rPr>
        <w:t>working review (Kim; Shultz; Cai &amp; Ye) should remain supporting cross-domain references unless their final bibliographic details and direct relevance are verified.</w:t>
      </w:r>
    </w:p>
    <w:sectPr w:rsidR="00F73469" w:rsidRPr="003226A5"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32F" w:rsidRDefault="00EA132F">
      <w:pPr>
        <w:spacing w:after="0" w:line="240" w:lineRule="auto"/>
        <w:rPr>
          <w:rFonts w:hint="eastAsia"/>
        </w:rPr>
      </w:pPr>
      <w:r>
        <w:separator/>
      </w:r>
    </w:p>
  </w:endnote>
  <w:endnote w:type="continuationSeparator" w:id="0">
    <w:p w:rsidR="00EA132F" w:rsidRDefault="00EA13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3469" w:rsidRDefault="00EA132F">
    <w:pPr>
      <w:pStyle w:val="Footer"/>
      <w:jc w:val="center"/>
      <w:rPr>
        <w:rFonts w:hint="eastAsia"/>
      </w:rPr>
    </w:pPr>
    <w:r>
      <w:rPr>
        <w:sz w:val="16"/>
      </w:rPr>
      <w:t xml:space="preserve">STEM Advance Research </w:t>
    </w:r>
    <w:r>
      <w:rPr>
        <w:sz w:val="16"/>
      </w:rPr>
      <w:t>Project | Preliminary Results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32F" w:rsidRDefault="00EA132F">
      <w:pPr>
        <w:spacing w:after="0" w:line="240" w:lineRule="auto"/>
        <w:rPr>
          <w:rFonts w:hint="eastAsia"/>
        </w:rPr>
      </w:pPr>
      <w:r>
        <w:separator/>
      </w:r>
    </w:p>
  </w:footnote>
  <w:footnote w:type="continuationSeparator" w:id="0">
    <w:p w:rsidR="00EA132F" w:rsidRDefault="00EA132F">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97CD3"/>
    <w:multiLevelType w:val="hybridMultilevel"/>
    <w:tmpl w:val="DB5C0CB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31A71D0D"/>
    <w:multiLevelType w:val="hybridMultilevel"/>
    <w:tmpl w:val="A4CA52CC"/>
    <w:lvl w:ilvl="0" w:tplc="8B3CE402">
      <w:numFmt w:val="bullet"/>
      <w:lvlText w:val="•"/>
      <w:lvlJc w:val="left"/>
      <w:pPr>
        <w:ind w:left="417" w:hanging="360"/>
      </w:pPr>
      <w:rPr>
        <w:rFonts w:ascii="Aptos" w:eastAsiaTheme="minorEastAsia" w:hAnsi="Aptos" w:cstheme="minorBidi" w:hint="default"/>
        <w:b/>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48BC"/>
    <w:rsid w:val="0029639D"/>
    <w:rsid w:val="0030216A"/>
    <w:rsid w:val="003226A5"/>
    <w:rsid w:val="00326F90"/>
    <w:rsid w:val="00684E45"/>
    <w:rsid w:val="00A90221"/>
    <w:rsid w:val="00AA1D8D"/>
    <w:rsid w:val="00B47730"/>
    <w:rsid w:val="00CB0664"/>
    <w:rsid w:val="00EA132F"/>
    <w:rsid w:val="00F734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D06E256-EE31-44D1-86F8-19016399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AF657-6A69-4870-A7F9-CEF5ABB9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2015</Words>
  <Characters>12144</Characters>
  <Application>Microsoft Office Word</Application>
  <DocSecurity>0</DocSecurity>
  <Lines>349</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Khatiwada</dc:creator>
  <cp:keywords/>
  <dc:description/>
  <cp:lastModifiedBy>Microsoft account</cp:lastModifiedBy>
  <cp:revision>3</cp:revision>
  <dcterms:created xsi:type="dcterms:W3CDTF">2026-08-30T21:23:00Z</dcterms:created>
  <dcterms:modified xsi:type="dcterms:W3CDTF">2026-08-30T21:24:00Z</dcterms:modified>
  <cp:category/>
</cp:coreProperties>
</file>