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Drug Causality Assessment Report</w:t>
      </w:r>
    </w:p>
    <w:p>
      <w:pPr>
        <w:pStyle w:val="Heading2"/>
        <w:jc w:val="center"/>
      </w:pPr>
      <w:r>
        <w:t>Pharmacovigilance Analysis per FDA/EMA Guidelines</w:t>
      </w:r>
    </w:p>
    <w:p>
      <w:r>
        <w:t>Document Analyzed: fphar-16-1498191.pdf</w:t>
      </w:r>
    </w:p>
    <w:p>
      <w:r>
        <w:t>Report Generated: 2025-11-02 00:21:49</w:t>
      </w:r>
    </w:p>
    <w:p>
      <w:r>
        <w:t>Analysis Model: BioBERT Fine-tuned (F1: 0.9759, Accuracy: 0.9759)</w:t>
      </w:r>
    </w:p>
    <w:p>
      <w:r>
        <w:t>Classification Threshold: 0.5</w:t>
      </w:r>
    </w:p>
    <w:p/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Sentences Analyzed</w:t>
            </w:r>
          </w:p>
        </w:tc>
        <w:tc>
          <w:tcPr>
            <w:tcW w:type="dxa" w:w="4320"/>
          </w:tcPr>
          <w:p>
            <w:r>
              <w:t>415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Drug-Event Sentences Identified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Causality-Related Sentences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Unique Drugs Identified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Unique Adverse Events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</w:tbl>
    <w:p/>
    <w:p>
      <w:pPr>
        <w:pStyle w:val="Heading1"/>
      </w:pPr>
      <w:r>
        <w:t>Key Drugs Identified</w:t>
      </w:r>
    </w:p>
    <w:p>
      <w:pPr>
        <w:pStyle w:val="ListBullet"/>
      </w:pPr>
      <w:r>
        <w:rPr>
          <w:b/>
        </w:rPr>
        <w:t>Adalimumab</w:t>
      </w:r>
      <w:r>
        <w:t xml:space="preserve"> → cataracts, cataract, glaucoma, visual</w:t>
        <w:br/>
        <w:t>impairment (99.99% confidence, 5 related sentences)</w:t>
      </w:r>
    </w:p>
    <w:p>
      <w:pPr>
        <w:pStyle w:val="ListBullet"/>
      </w:pPr>
      <w:r>
        <w:rPr>
          <w:b/>
        </w:rPr>
        <w:t>Interferon Beta-1A</w:t>
      </w:r>
      <w:r>
        <w:t xml:space="preserve"> → cataracts (99.99% confidence, 1 related sentences)</w:t>
      </w:r>
    </w:p>
    <w:p>
      <w:pPr>
        <w:pStyle w:val="ListBullet"/>
      </w:pPr>
      <w:r>
        <w:rPr>
          <w:b/>
        </w:rPr>
        <w:t>Ibrutinib</w:t>
      </w:r>
      <w:r>
        <w:t xml:space="preserve"> → cataracts, blurred vision, cataract (99.99% confidence, 4 related sentences)</w:t>
      </w:r>
    </w:p>
    <w:p>
      <w:pPr>
        <w:pStyle w:val="ListBullet"/>
      </w:pPr>
      <w:r>
        <w:rPr>
          <w:b/>
        </w:rPr>
        <w:t>thatesomeprazole</w:t>
      </w:r>
      <w:r>
        <w:t xml:space="preserve"> → cataracts (99.98% confidence, 1 related sentences)</w:t>
      </w:r>
    </w:p>
    <w:p>
      <w:pPr>
        <w:pStyle w:val="ListBullet"/>
      </w:pPr>
      <w:r>
        <w:rPr>
          <w:b/>
        </w:rPr>
        <w:t>atorvastatin</w:t>
      </w:r>
      <w:r>
        <w:t xml:space="preserve"> → cataracts (99.98% confidence, 2 related sentences)</w:t>
      </w:r>
    </w:p>
    <w:p>
      <w:pPr>
        <w:pStyle w:val="ListBullet"/>
      </w:pPr>
      <w:r>
        <w:rPr>
          <w:b/>
        </w:rPr>
        <w:t>thatRisankizumab</w:t>
      </w:r>
      <w:r>
        <w:t xml:space="preserve"> → cataracts (99.98% confidence, 1 related sentences)</w:t>
      </w:r>
    </w:p>
    <w:p>
      <w:pPr>
        <w:pStyle w:val="ListBullet"/>
      </w:pPr>
      <w:r>
        <w:rPr>
          <w:b/>
        </w:rPr>
        <w:t>zoledronic acid</w:t>
      </w:r>
      <w:r>
        <w:t xml:space="preserve"> → cataracts, cataract (99.95% confidence, 3 related sentences)</w:t>
      </w:r>
    </w:p>
    <w:p>
      <w:pPr>
        <w:pStyle w:val="ListBullet"/>
      </w:pPr>
      <w:r>
        <w:rPr>
          <w:b/>
        </w:rPr>
        <w:t>Atorvastatin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Risankizumab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Sodium Oxybate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Tofacitinib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Upadacitinib</w:t>
      </w:r>
      <w:r>
        <w:t xml:space="preserve"> → cataracts (99.93% confidence, 2 related sentences)</w:t>
      </w:r>
    </w:p>
    <w:p>
      <w:pPr>
        <w:pStyle w:val="ListBullet"/>
      </w:pPr>
      <w:r>
        <w:rPr>
          <w:b/>
        </w:rPr>
        <w:t>Zoledronic Acid</w:t>
      </w:r>
      <w:r>
        <w:t xml:space="preserve"> → cataracts (99.93% confidence, 1 related sentences)</w:t>
      </w:r>
    </w:p>
    <w:p>
      <w:pPr>
        <w:pStyle w:val="ListBullet"/>
      </w:pPr>
      <w:r>
        <w:rPr>
          <w:b/>
        </w:rPr>
        <w:t>Rituximab</w:t>
      </w:r>
      <w:r>
        <w:t xml:space="preserve"> → cataracts (99.85% confidence, 1 related sentences)</w:t>
      </w:r>
    </w:p>
    <w:p>
      <w:pPr>
        <w:pStyle w:val="ListBullet"/>
      </w:pPr>
      <w:r>
        <w:rPr>
          <w:b/>
        </w:rPr>
        <w:t>denosumab</w:t>
      </w:r>
      <w:r>
        <w:t xml:space="preserve"> → cataract (99.10% confidence, 1 related sentences)</w:t>
      </w:r>
    </w:p>
    <w:p>
      <w:pPr>
        <w:pStyle w:val="ListBullet"/>
      </w:pPr>
      <w:r>
        <w:rPr>
          <w:b/>
        </w:rPr>
        <w:t>Alendronic Acid</w:t>
      </w:r>
      <w:r>
        <w:t xml:space="preserve"> → cataracts (97.75% confidence, 1 related sentences)</w:t>
      </w:r>
    </w:p>
    <w:p/>
    <w:p>
      <w:pPr>
        <w:pStyle w:val="Heading1"/>
      </w:pPr>
      <w:r>
        <w:t>Quality Metrics</w:t>
      </w:r>
    </w:p>
    <w:p>
      <w:r>
        <w:t>✓ All related sentences have &gt;50.0% confidence threshold</w:t>
      </w:r>
    </w:p>
    <w:p>
      <w:r>
        <w:t>✓ Highest confidence: 99.99%</w:t>
      </w:r>
    </w:p>
    <w:p>
      <w:r>
        <w:t>✓ Average confidence for related sentences: 99.40%</w:t>
      </w:r>
    </w:p>
    <w:p>
      <w:r>
        <w:t>✓ Model performance: F1=0.9759, Accuracy=0.9759, Sensitivity=0.9868, Specificity=0.9650</w:t>
      </w:r>
    </w:p>
    <w:p>
      <w:r>
        <w:br w:type="page"/>
      </w:r>
    </w:p>
    <w:p>
      <w:pPr>
        <w:pStyle w:val="Heading1"/>
      </w:pPr>
      <w:r>
        <w:t>Detailed Drug-Event Causality Analysis</w:t>
      </w:r>
    </w:p>
    <w:p>
      <w:pPr>
        <w:pStyle w:val="Heading2"/>
      </w:pPr>
      <w:r>
        <w:t>Adalimumab</w:t>
      </w:r>
    </w:p>
    <w:p>
      <w:r>
        <w:rPr>
          <w:b/>
        </w:rPr>
        <w:t>Total Causality Statements: 7</w:t>
        <w:br/>
      </w:r>
      <w:r>
        <w:t>Related Statements: 5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According to the analysis, the top ﬁve medications associated</w:t>
              <w:br/>
              <w:t>with an increased risk of cataracts were Alendronic Acid (ROR =13.92, 95% CI: 12.51 –15.48, P &lt;0.01), Ibrutinib (ROR = 5.26, 95%</w:t>
              <w:br/>
              <w:t>CI: 4.85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Adalimumab, commonly used for th e treatment of severe uveitis</w:t>
              <w:br/>
              <w:t>associated with juvenile idiopath ic arthritis, has been reported to</w:t>
              <w:br/>
              <w:t>contribute to cataracts and glaucoma, leading to signi ﬁcant visual</w:t>
              <w:br/>
              <w:t>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However, in</w:t>
              <w:br/>
              <w:t>our study, the cataract signal associ ated with Adalimumab may represent</w:t>
              <w:br/>
              <w:t>a false positive, potentially in ﬂuenced by underlying diseases or inadequate</w:t>
              <w:br/>
              <w:t>treatment responses.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0.9974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Therefore, further research is necessary to establish adeﬁnitive causal relationship between Adalimumab and cataracts.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0.0069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Long-term safety and ef ﬁcacy of Upadacitinib or Adalimumab in patients with</w:t>
              <w:br/>
              <w:t>rheumatoid arthritis: results through 3 Years from the SELECT-COMPARE study.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Ef ﬁcacy and safety of</w:t>
              <w:br/>
              <w:t>Adalimumab biosimilars: current critical clinical data in rheumatoid arthritis.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Adalimumab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Adalimumab and cataracts, cataract, glaucoma, visual</w:t>
        <w:br/>
        <w:t>impairment demonstrates sufficient evidence to warrant clinical attention. Healthcare providers should:</w:t>
        <w:br/>
        <w:t>- Monitor patients for signs/symptoms of cataracts, cataract, glaucoma, visual</w:t>
        <w:br/>
        <w:t>impairment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Alendronic Acid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According to the analysis, the top ﬁve medications associated</w:t>
              <w:br/>
              <w:t>with an increased risk of cataracts were Alendronic Acid (ROR =13.92, 95% CI: 12.51 –15.48, P &lt;0.01), Ibrutinib (ROR = 5.26, 95%</w:t>
              <w:br/>
              <w:t>CI: 4.85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Alendronic Acid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Alendronic Acid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Aminobutyric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10.3389/fphar.2025.1498191Glossary</w:t>
              <w:br/>
              <w:t>FDA U.S.Food and Drug Administration</w:t>
              <w:br/>
              <w:t>FAERS FDA Adverse Event Reporting System</w:t>
              <w:br/>
              <w:t>ROR Ratio of Odds Ratios</w:t>
              <w:br/>
              <w:t>LASSO least absolute shrinkage and selection operator</w:t>
              <w:br/>
              <w:t>IQR Inte...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Aminobutyric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Aminobutyric Acid and cataract, adverse event.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Atorvastatin</w:t>
      </w:r>
    </w:p>
    <w:p>
      <w:r>
        <w:rPr>
          <w:b/>
        </w:rPr>
        <w:t>Total Causality Statements: 3</w:t>
        <w:br/>
      </w:r>
      <w:r>
        <w:t>Related Statements: 1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>
            <w:r>
              <w:t>Atorvastatin, a widely used 3-Hydroxy-3-methylglutaryl-Coenzyme</w:t>
              <w:br/>
              <w:t>A (HMG-CoA) reductase inhibitor, effectively reduces cholesterol</w:t>
              <w:br/>
              <w:t>synthesis and lowers low-density lipoprotein cholesterol (LDL-C)</w:t>
              <w:br/>
              <w:t>levels...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NOT RELATED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>
            <w:r>
              <w:t>0.9999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>
            <w:r>
              <w:t>0.9999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>
            <w:r>
              <w:t>Unassessable/Unclassifiable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>
            <w:r>
              <w:t>Doubtful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0.0007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Probable/Likely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Atorvastatin, a widely used HMG-CoA reductase inhibitor,</w:t>
              <w:br/>
              <w:t>effectively inhibits cholesterol synthesis and lowers LDL-C levels,thereby reducing cardiovascular risk ( Liao and Laufs, 2005 ).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0.0001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0.9999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Unassessable/Unclassifiable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Doubtful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Regulatory Assessment: Atorvastatin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Atorvastatin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Daratumumab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Daratumumab plus Pomalidomide and dexamethasone versus</w:t>
              <w:br/>
              <w:t>Pomalidomide and dexamethasone alone in previously treated multiple myeloma</w:t>
              <w:br/>
              <w:t>(APOLLO): an open-label, randomised, phase 3 trial.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Daratumumab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Daratumumab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Esomeprazole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Esomeprazole, a widely used proton pump inhibitor (PPI) for</w:t>
              <w:br/>
              <w:t>gastroesophageal re ﬂux disease (GERD) and peptic ulcers, reduces</w:t>
              <w:br/>
              <w:t>gastric acid secretion by inhibiting H</w:t>
              <w:br/>
              <w:t>+/K+-ATPase activity ( Qi et al.,</w:t>
              <w:br/>
              <w:t>2...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Esomeprazole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Esomeprazole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Ibrutinib</w:t>
      </w:r>
    </w:p>
    <w:p>
      <w:r>
        <w:rPr>
          <w:b/>
        </w:rPr>
        <w:t>Total Causality Statements: 6</w:t>
        <w:br/>
      </w:r>
      <w:r>
        <w:t>Related Statements: 4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According to the analysis, the top ﬁve medications associated</w:t>
              <w:br/>
              <w:t>with an increased risk of cataracts were Alendronic Acid (ROR =13.92, 95% CI: 12.51 –15.48, P &lt;0.01), Ibrutinib (ROR = 5.26, 95%</w:t>
              <w:br/>
              <w:t>CI: 4.85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Ibrutinib, a Bruton ’s tyrosine kinase (BTK) inhibitor,</w:t>
              <w:br/>
              <w:t>irreversibly binds to BTK, thereby suppressing B-cell proliferationand survival ( Li et al., 2021 ).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In the RESONATE phase III</w:t>
              <w:br/>
              <w:t>multicenter trial, among approximately 400 patients withrelapsed or refractory chronic lymphocytic leukemia (CLL) or</w:t>
              <w:br/>
              <w:t>small lymphocytic lymphoma (SLL) receiving Ibrutinib, 10%...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Additionally, a case report</w:t>
              <w:br/>
              <w:t>suggested that Ibrutinib may penetrate the blood-aqueous barrier,altering the ocular microenvironment and causing plateletdysfunction and impaired ﬁbrinolysis, potentially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10.3389/fphar.2025.1498191between Ibrutinib and cataracts.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Ibrutinib alleviates</w:t>
              <w:br/>
              <w:t>LPS-induced neuroin ﬂammation and synaptic defects in a mouse model of depression.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Ibrutinib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Ibrutinib and cataracts, blurred vision, cataract demonstrates sufficient evidence to warrant clinical attention. Healthcare providers should:</w:t>
        <w:br/>
        <w:t>- Monitor patients for signs/symptoms of cataracts, blurred vision, cataract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Interferon Beta-1A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Interferon Beta-1A, indicated for multiple sclerosis, was also</w:t>
              <w:br/>
              <w:t>identi ﬁed as potentially associated with drug-induced cataracts.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Interferon Beta-1A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Interferon Beta-1A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Risankizumab</w:t>
      </w:r>
    </w:p>
    <w:p>
      <w:r>
        <w:rPr>
          <w:b/>
        </w:rPr>
        <w:t>Total Causality Statements: 3</w:t>
        <w:br/>
      </w:r>
      <w:r>
        <w:t>Related Statements: 1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Risankizumab, a monoclonal antibody targeting interleukin-</w:t>
              <w:br/>
              <w:t>23A (IL-23A), is primarily indicated for the treatment of plaquepsoriasis, psoriatic arthritis, Crohn ’s disease, and ulcerative colitis</w:t>
              <w:br/>
              <w:t>(Gor...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Ef ﬁcacy and safety of Risankizumab in moderate-to-severe plaque psoriasis</w:t>
              <w:br/>
              <w:t>(UltIMMa-1 and UltIMMa-2): results from two double-blind, randomised, placebo-controlled and ustekinumab-controlled phase 3 t...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Risankizumab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Risankizumab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Rituximab</w:t>
      </w:r>
    </w:p>
    <w:p>
      <w:r>
        <w:rPr>
          <w:b/>
        </w:rPr>
        <w:t>Total Causality Statements: 2</w:t>
        <w:br/>
      </w:r>
      <w:r>
        <w:t>Related Statements: 1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Although no direct association between Pomalidomide</w:t>
              <w:br/>
              <w:t>and cataracts has been reported, a prospective study involving</w:t>
              <w:br/>
              <w:t>vitreoretinal lymphoma patients receiving intravitreal</w:t>
              <w:br/>
              <w:t>methotrexate (MTX), Rituximab,...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Lenalidomide</w:t>
              <w:br/>
              <w:t>and Rituximab regimen combined with intravitreal methotrexate followed byLenalidomide maintenance for primary vitreoretinal lymphoma: a prospective phase</w:t>
              <w:br/>
              <w:t>II study.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Rituximab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Rituximab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Sodium Oxybate</w:t>
      </w:r>
    </w:p>
    <w:p>
      <w:r>
        <w:rPr>
          <w:b/>
        </w:rPr>
        <w:t>Total Causality Statements: 3</w:t>
        <w:br/>
      </w:r>
      <w:r>
        <w:t>Related Statements: 1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Sodium Oxybate, a central nervous system depressant and the</w:t>
              <w:br/>
              <w:t>sodium salt of γ-hydroxybutyric acid (GHB), is primarily used to</w:t>
              <w:br/>
              <w:t>treat narcolepsy-related symptoms, including cataplexy anddisrupted nightti...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Currently, no studies have reported an</w:t>
              <w:br/>
              <w:t>association between Sodium Oxybate and ocular adverse events.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Sodium Oxybate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Sodium Oxybate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Tofacitinib</w:t>
      </w:r>
    </w:p>
    <w:p>
      <w:r>
        <w:rPr>
          <w:b/>
        </w:rPr>
        <w:t>Total Causality Statements: 3</w:t>
        <w:br/>
      </w:r>
      <w:r>
        <w:t>Related Statements: 1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Upadacitinib and Tofacitinib are selective Janus kinase (JAK)</w:t>
              <w:br/>
              <w:t>inhibitors that exert anti-in ﬂammatory and immunomodulatory</w:t>
              <w:br/>
              <w:t>effects by inhibiting the JAK/signal transducer and activator of</w:t>
              <w:br/>
              <w:t>transcriptio...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Currently, no dedicated research has explored</w:t>
              <w:br/>
              <w:t>the relationship between Tofacitinib and cataracts; therefore,</w:t>
              <w:br/>
              <w:t>c l o s eo p h t h a l m i cm o n i t o r i n g in clinical practice is</w:t>
              <w:br/>
              <w:t>recommended.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Tofacitinib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Tofacitinib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Upadacitinib</w:t>
      </w:r>
    </w:p>
    <w:p>
      <w:r>
        <w:rPr>
          <w:b/>
        </w:rPr>
        <w:t>Total Causality Statements: 6</w:t>
        <w:br/>
      </w:r>
      <w:r>
        <w:t>Related Statements: 2</w:t>
        <w:br/>
      </w:r>
      <w:r>
        <w:t>Not Related Statements: 4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According to the analysis, the top ﬁve medications associated</w:t>
              <w:br/>
              <w:t>with an increased risk of cataracts were Alendronic Acid (ROR =13.92, 95% CI: 12.51 –15.48, P &lt;0.01), Ibrutinib (ROR = 5.26, 95%</w:t>
              <w:br/>
              <w:t>CI: 4.85 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0.9775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0.0225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Upadacitinib and Tofacitinib are selective Janus kinase (JAK)</w:t>
              <w:br/>
              <w:t>inhibitors that exert anti-in ﬂammatory and immunomodulatory</w:t>
              <w:br/>
              <w:t>effects by inhibiting the JAK/signal transducer and activator of</w:t>
              <w:br/>
              <w:t>transcriptio...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Long-term safety and ef ﬁcacy of Upadacitinib or Adalimumab in patients with</w:t>
              <w:br/>
              <w:t>rheumatoid arthritis: results through 3 Years from the SELECT-COMPARE study.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Upadacitinib induction and maintenance therapy for Crohn ’s disease.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Post-marketing safety concerns with Upadacitinib: a disproportionality analysis of the</w:t>
              <w:br/>
              <w:t>FDA adverse event reporting system.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Upadacitinib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Upadacitinib and cataracts, adverse event demonstrates sufficient evidence to warrant clinical attention. Healthcare providers should:</w:t>
        <w:br/>
        <w:t>- Monitor patients for signs/symptoms of cataracts, adverse event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Zoledronic Acid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results identi ﬁed 15 drugs (Bimatoprost, Atorvastatin,</w:t>
              <w:br/>
              <w:t>Zoledronic Acid, Esomeprazol e, Risankizumab, Interferon β-1,</w:t>
              <w:br/>
              <w:t>Adalimumab, Prednisone, Ibrutini b, Upadacitinib, Tofacitinib,</w:t>
              <w:br/>
              <w:t>Sodium Oxybate,...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Zoledronic Acid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Zoledronic Acid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Zoledronic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Zoledronic acid is superior to pamidronate in the treatment of hypercalcemia ofmalignancy: a pooled analysis of two randomized, controlled clinical trials.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Zoledronic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Zoledronic acid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aminobutyric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Its mechanism of action involvesmodulating gamma-aminobutyric acid (GABA) receptor activityto enhance sleep quality and regulate the circadian rhythm ( Avidan</w:t>
              <w:br/>
              <w:t>and Kushida, 2020 ).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aminobutyric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aminobutyric acid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atorvastatin</w:t>
      </w:r>
    </w:p>
    <w:p>
      <w:r>
        <w:rPr>
          <w:b/>
        </w:rPr>
        <w:t>Total Causality Statements: 2</w:t>
        <w:br/>
      </w:r>
      <w:r>
        <w:t>Related Statements: 2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Discussion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>
            <w:r>
              <w:t>Consistent with these ﬁndings, our</w:t>
              <w:br/>
              <w:t>multivariate logistic regression anal ysis indicated that atorvastatin may</w:t>
              <w:br/>
              <w:t>be an independent risk factor for dr ug-induced cataracts (Odds Ratio</w:t>
              <w:br/>
              <w:t>(OR) [95% CI]: 12 [7...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>
            <w:r>
              <w:t>0.9998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>
            <w:r>
              <w:t>0.9998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>
            <w:r>
              <w:t>Probable/Likely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>
            <w:r>
              <w:t>Possible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Consistently, our multivariate</w:t>
              <w:br/>
              <w:t>logistic regression analysis identi ﬁed atorvastatin as an independentrisk factor for drug-induced cataracts (OR [95% CI]: 12 [7.6 –18]).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0.9935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0.9935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0.0065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Probable/Likely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Regulatory Assessment: atorvastatin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atorvastatin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denosumab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Risk of</w:t>
              <w:br/>
              <w:t>cataract surgery and age-related macular degeneration after initiation of denosumab vs</w:t>
              <w:br/>
              <w:t>zoledronic acid for osteoporosis: a multi-database cohort study.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Probable/Likely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denosumab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denosumab and cataract demonstrates sufficient evidence to warrant clinical attention. Healthcare providers should:</w:t>
        <w:br/>
        <w:t>- Monitor patients for signs/symptoms of cataract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esomeprazole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Comparative effectiveness and</w:t>
              <w:br/>
              <w:t>tolerability of esomeprazole and omeprazole in gastro-esophageal re ﬂux disease: a</w:t>
              <w:br/>
              <w:t>systematic review and meta-analysis.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esomeprazole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esomeprazole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gastric acid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Esomeprazole, a widely used proton pump inhibitor (PPI) for</w:t>
              <w:br/>
              <w:t>gastroesophageal re ﬂux disease (GERD) and peptic ulcers, reduces</w:t>
              <w:br/>
              <w:t>gastric acid secretion by inhibiting H</w:t>
              <w:br/>
              <w:t>+/K+-ATPase activity ( Qi et al.,</w:t>
              <w:br/>
              <w:t>2...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gastric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gastric acid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hydroxybutyric acid</w:t>
      </w:r>
    </w:p>
    <w:p>
      <w:r>
        <w:rPr>
          <w:b/>
        </w:rPr>
        <w:t>Total Causality Statements: 2</w:t>
        <w:br/>
      </w:r>
      <w:r>
        <w:t>Related Statements: 0</w:t>
        <w:br/>
      </w:r>
      <w:r>
        <w:t>Not Related Statements: 2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Sodium Oxybate, a central nervous system depressant and the</w:t>
              <w:br/>
              <w:t>sodium salt of γ-hydroxybutyric acid (GHB), is primarily used to</w:t>
              <w:br/>
              <w:t>treat narcolepsy-related symptoms, including cataplexy anddisrupted nightti...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10.3389/fphar.2025.1498191Glossary</w:t>
              <w:br/>
              <w:t>FDA U.S.Food and Drug Administration</w:t>
              <w:br/>
              <w:t>FAERS FDA Adverse Event Reporting System</w:t>
              <w:br/>
              <w:t>ROR Ratio of Odds Ratios</w:t>
              <w:br/>
              <w:t>LASSO least absolute shrinkage and selection operator</w:t>
              <w:br/>
              <w:t>IQR Inte...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hydroxybutyric acid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hydroxybutyric acid and cataract, adverse event.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inUpadacitinib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Recent pharmacovigilance studies have identi ﬁed ocular adverse</w:t>
              <w:br/>
              <w:t>events, including cataracts, macular holes, and scleritis, aspotential new safety signals not previously documented inUpadacitinib ’sl a...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inUpadacitinib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inUpadacitinib and cataracts.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omeprazole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Comparative effectiveness and</w:t>
              <w:br/>
              <w:t>tolerability of esomeprazole and omeprazole in gastro-esophageal re ﬂux disease: a</w:t>
              <w:br/>
              <w:t>systematic review and meta-analysis.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omeprazole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omeprazole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pamidronate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Zoledronic acid is superior to pamidronate in the treatment of hypercalcemia ofmalignancy: a pooled analysis of two randomized, controlled clinical trials.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pamidronate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pamidronate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sodium in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sodium in sodium oxybate: is there</w:t>
              <w:br/>
              <w:t>cause for concern?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sodium in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sodium in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sodium oxybate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References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The sodium in sodium oxybate: is there</w:t>
              <w:br/>
              <w:t>cause for concern?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sodium oxybate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sodium oxybate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sodium salt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Sodium Oxybate, a central nervous system depressant and the</w:t>
              <w:br/>
              <w:t>sodium salt of γ-hydroxybutyric acid (GHB), is primarily used to</w:t>
              <w:br/>
              <w:t>treat narcolepsy-related symptoms, including cataplexy anddisrupted nightti...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1.0000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sodium salt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sodium salt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thatRisankizumab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Consistently,</w:t>
              <w:br/>
              <w:t>our multivariate logistic regression analysis suggested thatRisankizumab may be an independent risk factor for cataracts.However, the precise pathogenic mechanisms remain unclear and</w:t>
              <w:br/>
              <w:t>war...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thatRisankizumab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thatRisankizumab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thatesomeprazole</w:t>
      </w:r>
    </w:p>
    <w:p>
      <w:r>
        <w:rPr>
          <w:b/>
        </w:rPr>
        <w:t>Total Causality Statements: 1</w:t>
        <w:br/>
      </w:r>
      <w:r>
        <w:t>Related Statements: 1</w:t>
        <w:br/>
      </w:r>
      <w:r>
        <w:t>Not Related Statements: 0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Our analysis suggests thatesomeprazole may be an independent risk factor for cataracts.However, given the limited current evidence, further large-scaleRCTs are warranted to elucidate this potential ri...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0.9998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0.0002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Doubtful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thatesomeprazole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thatesomeprazole and cataracts demonstrates sufficient evidence to warrant clinical attention. Healthcare providers should:</w:t>
        <w:br/>
        <w:t>- Monitor patients for signs/symptoms of cataracts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p>
      <w:pPr>
        <w:pStyle w:val="Heading2"/>
      </w:pPr>
      <w:r>
        <w:t>upadacitinib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Disproportionality analysis of upadacitinib-related adverse events in in ﬂammatory</w:t>
              <w:br/>
              <w:t>bowel disease using the FDA adverse event reporting system.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upadacitinib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upadacitinib and adverse event.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ustekinumab</w:t>
      </w:r>
    </w:p>
    <w:p>
      <w:r>
        <w:rPr>
          <w:b/>
        </w:rPr>
        <w:t>Total Causality Statements: 1</w:t>
        <w:br/>
      </w:r>
      <w:r>
        <w:t>Related Statements: 0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4320"/>
          </w:tcPr>
          <w:p>
            <w:r>
              <w:t>Ef ﬁcacy and safety of Risankizumab in moderate-to-severe plaque psoriasis</w:t>
              <w:br/>
              <w:t>(UltIMMa-1 and UltIMMa-2): results from two double-blind, randomised, placebo-controlled and ustekinumab-controlled phase 3 t...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NOT RELATED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4320"/>
          </w:tcPr>
          <w:p>
            <w:r>
              <w:t>0.0001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4320"/>
          </w:tcPr>
          <w:p>
            <w:r>
              <w:t>0.9999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4320"/>
          </w:tcPr>
          <w:p>
            <w:r>
              <w:t>Unassessable/Unclassifiable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4320"/>
          </w:tcPr>
          <w:p>
            <w:r>
              <w:t>Possible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3"/>
      </w:pPr>
      <w:r>
        <w:t>Regulatory Assessment: ustekinumab</w:t>
      </w:r>
    </w:p>
    <w:p>
      <w:r>
        <w:br/>
        <w:t>**Regulatory Context (FDA/EMA Guidelines):**</w:t>
        <w:br/>
        <w:br/>
        <w:t>This drug-event combination shows no significant causality signal based on current analysis. According to:</w:t>
        <w:br/>
        <w:br/>
        <w:t>- **FDA Guidance**: No immediate regulatory action required, but continued monitoring recommended as part of routine pharmacovigilance.</w:t>
        <w:br/>
        <w:br/>
        <w:t>- **EMA Guidelines**: The absence of a signal does not exclude the possibility of a rare adverse event. Ongoing surveillance should continue.</w:t>
        <w:br/>
        <w:br/>
        <w:t>**Clinical Significance:**</w:t>
        <w:br/>
        <w:t>Current evidence does not support a causal relationship between ustekinumab and . However:</w:t>
        <w:br/>
        <w:t>- Individual case reports should still be documented</w:t>
        <w:br/>
        <w:t>- Cumulative data should be reviewed periodically</w:t>
        <w:br/>
        <w:t>- Healthcare providers should remain vigilant for unexpected events</w:t>
        <w:br/>
        <w:br/>
        <w:t>**Recommended Actions:**</w:t>
        <w:br/>
        <w:t>1. Continue routine pharmacovigilance monitoring</w:t>
        <w:br/>
        <w:t>2. Document in periodic safety reports</w:t>
        <w:br/>
        <w:t>3. No immediate label changes required</w:t>
        <w:br/>
        <w:t>4. Maintain awareness in clinical practice</w:t>
        <w:br/>
      </w:r>
    </w:p>
    <w:p>
      <w:r>
        <w:br w:type="page"/>
      </w:r>
    </w:p>
    <w:p>
      <w:pPr>
        <w:pStyle w:val="Heading2"/>
      </w:pPr>
      <w:r>
        <w:t>zoledronic acid</w:t>
      </w:r>
    </w:p>
    <w:p>
      <w:r>
        <w:rPr>
          <w:b/>
        </w:rPr>
        <w:t>Total Causality Statements: 4</w:t>
        <w:br/>
      </w:r>
      <w:r>
        <w:t>Related Statements: 3</w:t>
        <w:br/>
      </w:r>
      <w:r>
        <w:t>Not Related Statements: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References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>
            <w:r>
              <w:t>Once-yearly zoledronic acid for treatment of postmenopausal osteoporosis.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>
            <w:r>
              <w:rPr>
                <w:color w:val="FF0000"/>
              </w:rPr>
              <w:t>NOT RELATED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>
            <w:r>
              <w:t>0.9999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>
            <w:r>
              <w:t>0.0001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>
            <w:r>
              <w:t>0.9999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>
            <w:r>
              <w:t>Unassessable/Unclassifiable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>
            <w:r>
              <w:t>Doubtful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A study based</w:t>
              <w:br/>
              <w:t>on Optum and MarketScan databases reported a potential associationbetween zoledronic acid treatment and an increased risk of cataracts(ROR [95% CI]: 12 [7.6 –18]).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0.9980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0.0020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The proposed mechanisms suggest that</w:t>
              <w:br/>
              <w:t>zoledronic acid may impair eye lens epithelial cell function by inducing</w:t>
              <w:br/>
              <w:t>local in ﬂammation and protein denaturati on, ultimately contributing to</w:t>
              <w:br/>
              <w:t>cataract formatio...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0.0005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-1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Doubtful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Causality Sentence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Risk of</w:t>
              <w:br/>
              <w:t>cataract surgery and age-related macular degeneration after initiation of denosumab vs</w:t>
              <w:br/>
              <w:t>zoledronic acid for osteoporosis: a multi-database cohort study.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color w:val="008000"/>
              </w:rPr>
              <w:t>RELATED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0.9910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Probability (Not Related)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0.0090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WHO-UMC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Probable/Likely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Score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Naranjo Category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Possible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3"/>
      </w:pPr>
      <w:r>
        <w:t>Regulatory Assessment: zoledronic acid</w:t>
      </w:r>
    </w:p>
    <w:p>
      <w:r>
        <w:br/>
        <w:t>**Regulatory Context (FDA/EMA Guidelines):**</w:t>
        <w:br/>
        <w:br/>
        <w:t>This drug-event combination shows a positive causality signal based on BioBERT analysis. According to:</w:t>
        <w:br/>
        <w:br/>
        <w:t>- **FDA Guidance for Industry (E2B/ICH)**: This finding suggests a potential adverse drug reaction (ADR) that warrants further pharmacovigilance monitoring and may require inclusion in product labeling.</w:t>
        <w:br/>
        <w:br/>
        <w:t>- **EMA Pharmacovigilance Guidelines**: The identified association meets criteria for signal detection and should be evaluated for:</w:t>
        <w:br/>
        <w:t xml:space="preserve">  * Frequency of occurrence</w:t>
        <w:br/>
        <w:t xml:space="preserve">  * Severity of the event</w:t>
        <w:br/>
        <w:t xml:space="preserve">  * Clinical significance</w:t>
        <w:br/>
        <w:t xml:space="preserve">  * Biological plausibility</w:t>
        <w:br/>
        <w:br/>
        <w:t>**Clinical Significance:**</w:t>
        <w:br/>
        <w:t>The relationship between zoledronic acid and cataracts, cataract demonstrates sufficient evidence to warrant clinical attention. Healthcare providers should:</w:t>
        <w:br/>
        <w:t>- Monitor patients for signs/symptoms of cataracts, cataract</w:t>
        <w:br/>
        <w:t>- Consider risk-benefit assessment before prescribing</w:t>
        <w:br/>
        <w:t>- Report any occurrences through pharmacovigilance systems</w:t>
        <w:br/>
        <w:br/>
        <w:t>**Recommended Actions:**</w:t>
        <w:br/>
        <w:t>1. Include in Risk Management Plan (RMP)</w:t>
        <w:br/>
        <w:t>2. Consider for Periodic Safety Update Report (PSUR)</w:t>
        <w:br/>
        <w:t>3. Evaluate need for label updates</w:t>
        <w:br/>
        <w:t>4. Continue post-marketing surveillance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Drug Causality Assessment Report - fphar-16-1498191</dc:title>
  <dc:subject/>
  <dc:creator>BioBERT Causality Classifier</dc:creator>
  <cp:keywords/>
  <dc:description>Regulatory-compliant pharmacovigilance report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