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Drug Causality Assessment Report</w:t>
      </w:r>
    </w:p>
    <w:p>
      <w:pPr>
        <w:pStyle w:val="Heading2"/>
        <w:jc w:val="center"/>
      </w:pPr>
      <w:r>
        <w:t>Pharmacovigilance Analysis per FDA/EMA Guidelines</w:t>
      </w:r>
    </w:p>
    <w:p>
      <w:r>
        <w:t>Document Analyzed: zh801708001593.pdf</w:t>
      </w:r>
    </w:p>
    <w:p>
      <w:r>
        <w:t>Report Generated: 2025-11-02 00:06:35</w:t>
      </w:r>
    </w:p>
    <w:p>
      <w:r>
        <w:t>Analysis Model: BioBERT Fine-tuned (F1: 0.9759, Accuracy: 0.9759)</w:t>
      </w:r>
    </w:p>
    <w:p>
      <w:r>
        <w:t>Classification Threshold: 0.5</w:t>
      </w:r>
    </w:p>
    <w:p/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Sentences Analyzed</w:t>
            </w:r>
          </w:p>
        </w:tc>
        <w:tc>
          <w:tcPr>
            <w:tcW w:type="dxa" w:w="4320"/>
          </w:tcPr>
          <w:p>
            <w:r>
              <w:t>454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Drug-Event Sentences Identified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Causality-Related Sentences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Unique Drugs Identified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Unique Adverse Events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pPr>
        <w:pStyle w:val="Heading1"/>
      </w:pPr>
      <w:r>
        <w:t>Key Drugs Identified</w:t>
      </w:r>
    </w:p>
    <w:p/>
    <w:p>
      <w:pPr>
        <w:pStyle w:val="Heading1"/>
      </w:pPr>
      <w:r>
        <w:t>Quality Metrics</w:t>
      </w:r>
    </w:p>
    <w:p>
      <w:r>
        <w:br w:type="page"/>
      </w:r>
    </w:p>
    <w:p>
      <w:pPr>
        <w:pStyle w:val="Heading1"/>
      </w:pPr>
      <w:r>
        <w:t>Detailed Drug-Event Causality Analysis</w:t>
      </w:r>
    </w:p>
    <w:p>
      <w:pPr>
        <w:pStyle w:val="Heading2"/>
      </w:pPr>
      <w:r>
        <w:t>Lipoic acid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Conclusion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Medications for symptomatic relief of painful BIPN</w:t>
              <w:br/>
              <w:t>Medication class Medications</w:t>
              <w:br/>
              <w:t>Opioids Oxycodone, hydrocodone, morphine, fentanyl</w:t>
              <w:br/>
              <w:t>Tricyclic antidepressants Amytriptiline, nortriptiline, desipramineAn...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Lipoic acid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Lipoic acid and peripheral neuropathy.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boronic acid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Introduction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2</w:t>
              <w:br/>
              <w:t>Bortezomib, a boronic acid dipeptide, is a 20S proteasome</w:t>
              <w:br/>
              <w:t>complex inhibitor that acts by disrupting various cell signalingpathways, thereby leading to cell cycle arrest, apoptosis, andinhibition of 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boronic acid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boronic acid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tanespimycin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Furthermore, intriguing studies involving tanespimycin, a heat</w:t>
              <w:br/>
              <w:t>shock protein (HSP)–90 inhibitor, have emerged as excitingopportunities for the reduction of BIPN, possibly through theup-regulation of H...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tanespimycin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tanespimycin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Drug Causality Assessment Report - zh801708001593</dc:title>
  <dc:subject/>
  <dc:creator>BioBERT Causality Classifier</dc:creator>
  <cp:keywords/>
  <dc:description>Regulatory-compliant pharmacovigilance report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