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Bastion host’s security group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080895"/>
            <wp:effectExtent l="0" t="0" r="11430" b="14605"/>
            <wp:docPr id="1" name="Picture 1" descr="Capture_q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_q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three instances’in the private subnets security group inbound rules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three instances’in the private subnets security group outbound rules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02131"/>
    <w:rsid w:val="69F6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2019-07-16T15:20:00Z</dcterms:created>
  <dc:creator>K Prashanth Kumar</dc:creator>
  <cp:lastModifiedBy>K Prashanth Kumar</cp:lastModifiedBy>
  <dcterms:modified xsi:type="dcterms:W3CDTF">2019-07-16T16:08:42Z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