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F00" w:rsidRDefault="001123B7" w:rsidP="001123B7">
      <w:pPr>
        <w:jc w:val="center"/>
        <w:rPr>
          <w:b/>
          <w:bCs/>
          <w:sz w:val="40"/>
          <w:szCs w:val="40"/>
        </w:rPr>
      </w:pPr>
      <w:r w:rsidRPr="001123B7">
        <w:rPr>
          <w:b/>
          <w:bCs/>
          <w:sz w:val="40"/>
          <w:szCs w:val="40"/>
        </w:rPr>
        <w:t>List Of Appendices</w:t>
      </w:r>
    </w:p>
    <w:p w:rsidR="001123B7" w:rsidRDefault="001123B7" w:rsidP="001123B7">
      <w:pPr>
        <w:jc w:val="center"/>
        <w:rPr>
          <w:b/>
          <w:bCs/>
          <w:sz w:val="40"/>
          <w:szCs w:val="40"/>
        </w:rPr>
      </w:pPr>
    </w:p>
    <w:p w:rsidR="001123B7" w:rsidRDefault="001123B7" w:rsidP="001123B7">
      <w:r>
        <w:t xml:space="preserve">This Dataset displays </w:t>
      </w:r>
      <w:r w:rsidRPr="00D23E44">
        <w:t>Top 1000 Highest Grossing Movies of All Time IMBD</w:t>
      </w:r>
      <w:r>
        <w:t xml:space="preserve"> and contains following columns </w:t>
      </w:r>
    </w:p>
    <w:p w:rsidR="001123B7" w:rsidRDefault="001123B7" w:rsidP="001123B7">
      <w:r w:rsidRPr="005A5114">
        <w:rPr>
          <w:b/>
          <w:bCs/>
        </w:rPr>
        <w:t>Movie Title</w:t>
      </w:r>
      <w:r>
        <w:t>: The name of the movie.</w:t>
      </w:r>
    </w:p>
    <w:p w:rsidR="001123B7" w:rsidRDefault="001123B7" w:rsidP="001123B7">
      <w:r w:rsidRPr="005A5114">
        <w:rPr>
          <w:b/>
          <w:bCs/>
        </w:rPr>
        <w:t>Year of Release</w:t>
      </w:r>
      <w:r>
        <w:t>: The year the movie was released.</w:t>
      </w:r>
    </w:p>
    <w:p w:rsidR="001123B7" w:rsidRDefault="001123B7" w:rsidP="001123B7">
      <w:r w:rsidRPr="005A5114">
        <w:rPr>
          <w:b/>
          <w:bCs/>
        </w:rPr>
        <w:t>Genre</w:t>
      </w:r>
      <w:r>
        <w:t>: Categories where the movie belongs.</w:t>
      </w:r>
    </w:p>
    <w:p w:rsidR="001123B7" w:rsidRDefault="001123B7" w:rsidP="001123B7">
      <w:r w:rsidRPr="005A5114">
        <w:rPr>
          <w:b/>
          <w:bCs/>
        </w:rPr>
        <w:t>Movie Rating</w:t>
      </w:r>
      <w:r>
        <w:t>: Ratings given by IMDb registered users (on a scale of 1 to 10)</w:t>
      </w:r>
    </w:p>
    <w:p w:rsidR="001123B7" w:rsidRDefault="001123B7" w:rsidP="001123B7">
      <w:r w:rsidRPr="005A5114">
        <w:rPr>
          <w:b/>
          <w:bCs/>
        </w:rPr>
        <w:t>Duration</w:t>
      </w:r>
      <w:r>
        <w:t>: Movie running time in minutes.</w:t>
      </w:r>
    </w:p>
    <w:p w:rsidR="001123B7" w:rsidRDefault="001123B7" w:rsidP="001123B7">
      <w:r w:rsidRPr="005A5114">
        <w:rPr>
          <w:b/>
          <w:bCs/>
        </w:rPr>
        <w:t>Gross:</w:t>
      </w:r>
      <w:r>
        <w:t xml:space="preserve"> Gross earnings in U.S. dollars.</w:t>
      </w:r>
    </w:p>
    <w:p w:rsidR="001123B7" w:rsidRDefault="001123B7" w:rsidP="001123B7">
      <w:r w:rsidRPr="005A5114">
        <w:rPr>
          <w:b/>
          <w:bCs/>
        </w:rPr>
        <w:t>Worldwide LT Gross</w:t>
      </w:r>
      <w:r>
        <w:t>: Worldwide Lifetime Gross (International + Domestic totals.</w:t>
      </w:r>
    </w:p>
    <w:p w:rsidR="001123B7" w:rsidRDefault="001123B7" w:rsidP="001123B7">
      <w:proofErr w:type="spellStart"/>
      <w:r w:rsidRPr="005A5114">
        <w:rPr>
          <w:b/>
          <w:bCs/>
        </w:rPr>
        <w:t>Metascore</w:t>
      </w:r>
      <w:proofErr w:type="spellEnd"/>
      <w:r>
        <w:t>: Weighted average of many reviews coming from reputed critics (on a scale of 0 to 100)</w:t>
      </w:r>
    </w:p>
    <w:p w:rsidR="001123B7" w:rsidRDefault="001123B7" w:rsidP="001123B7">
      <w:r w:rsidRPr="005A5114">
        <w:rPr>
          <w:b/>
          <w:bCs/>
        </w:rPr>
        <w:t>Votes</w:t>
      </w:r>
      <w:r>
        <w:t>: Number of votes cast by IMDb registered users.</w:t>
      </w:r>
    </w:p>
    <w:p w:rsidR="001123B7" w:rsidRDefault="001123B7" w:rsidP="001123B7">
      <w:r w:rsidRPr="005A5114">
        <w:rPr>
          <w:b/>
          <w:bCs/>
        </w:rPr>
        <w:t>Logline</w:t>
      </w:r>
      <w:r>
        <w:t>: A one or two sentence summary of the film.</w:t>
      </w:r>
    </w:p>
    <w:p w:rsidR="001123B7" w:rsidRDefault="001123B7" w:rsidP="00D350A0">
      <w:pPr>
        <w:rPr>
          <w:b/>
          <w:bCs/>
          <w:sz w:val="40"/>
          <w:szCs w:val="40"/>
        </w:rPr>
      </w:pPr>
    </w:p>
    <w:p w:rsidR="00D350A0" w:rsidRDefault="00D350A0" w:rsidP="00D350A0">
      <w:pPr>
        <w:rPr>
          <w:b/>
          <w:bCs/>
        </w:rPr>
      </w:pPr>
      <w:r>
        <w:rPr>
          <w:b/>
          <w:bCs/>
        </w:rPr>
        <w:t xml:space="preserve">Appendix 1 </w:t>
      </w:r>
    </w:p>
    <w:p w:rsidR="00D350A0" w:rsidRDefault="00D350A0" w:rsidP="00D350A0">
      <w:r w:rsidRPr="00D76F3D">
        <w:t xml:space="preserve">µ = </w:t>
      </w:r>
      <w:r>
        <w:t>6.8</w:t>
      </w:r>
    </w:p>
    <w:p w:rsidR="00D350A0" w:rsidRDefault="00D350A0" w:rsidP="00D350A0">
      <w:r w:rsidRPr="00D76F3D">
        <w:t xml:space="preserve"> </w:t>
      </w:r>
      <w:r w:rsidRPr="00D76F3D">
        <w:sym w:font="Symbol" w:char="F073"/>
      </w:r>
      <w:r w:rsidRPr="00D76F3D">
        <w:t xml:space="preserve"> = </w:t>
      </w:r>
      <w:r>
        <w:t>0.9</w:t>
      </w:r>
    </w:p>
    <w:p w:rsidR="00D350A0" w:rsidRDefault="00D350A0" w:rsidP="00D350A0">
      <w:r>
        <w:t>X = Random variable</w:t>
      </w:r>
    </w:p>
    <w:p w:rsidR="00D350A0" w:rsidRDefault="00D350A0" w:rsidP="00D350A0"/>
    <w:p w:rsidR="00D350A0" w:rsidRDefault="00D350A0" w:rsidP="00D350A0">
      <w:pPr>
        <w:rPr>
          <w:b/>
          <w:bCs/>
        </w:rPr>
      </w:pPr>
      <w:r w:rsidRPr="00D350A0">
        <w:rPr>
          <w:b/>
          <w:bCs/>
        </w:rPr>
        <w:t>Appendix 2</w:t>
      </w:r>
    </w:p>
    <w:p w:rsidR="00D350A0" w:rsidRDefault="00000000" w:rsidP="00D350A0">
      <w:pPr>
        <w:pStyle w:val="BodyTex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350A0">
        <w:t xml:space="preserve"> = Sample Mean </w:t>
      </w:r>
    </w:p>
    <w:p w:rsidR="00D350A0" w:rsidRDefault="00D350A0" w:rsidP="00D350A0">
      <w:pPr>
        <w:pStyle w:val="BodyText"/>
      </w:pPr>
      <w:r>
        <w:t>E = Margin of Error</w:t>
      </w:r>
    </w:p>
    <w:p w:rsidR="00D350A0" w:rsidRDefault="00D350A0" w:rsidP="00D350A0">
      <w:pPr>
        <w:rPr>
          <w:b/>
          <w:bCs/>
        </w:rPr>
      </w:pPr>
    </w:p>
    <w:p w:rsidR="00D350A0" w:rsidRPr="00AD67B5" w:rsidRDefault="00D350A0" w:rsidP="00D350A0">
      <w:pPr>
        <w:rPr>
          <w:rFonts w:ascii="Calibri" w:eastAsia="Calibri" w:hAnsi="Calibri" w:cs="Calibri"/>
          <w:sz w:val="24"/>
          <w:szCs w:val="24"/>
          <w:lang w:val="en-US"/>
        </w:rPr>
      </w:pPr>
      <w:r w:rsidRPr="008238E3">
        <w:rPr>
          <w:rFonts w:ascii="Calibri" w:eastAsia="Calibri" w:hAnsi="Calibri" w:cs="Calibri"/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Z</m:t>
            </m:r>
          </m:e>
          <m:sub>
            <m:f>
              <m:fPr>
                <m:ctrlP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2</m:t>
                </m:r>
              </m:den>
            </m:f>
          </m:sub>
        </m:sSub>
      </m:oMath>
      <w:r w:rsidRPr="008238E3">
        <w:rPr>
          <w:rFonts w:ascii="Calibri" w:eastAsia="Calibri" w:hAnsi="Calibri" w:cs="Calibri"/>
          <w:sz w:val="24"/>
          <w:szCs w:val="24"/>
          <w:lang w:val="en-US"/>
        </w:rPr>
        <w:t xml:space="preserve"> is the critical value for the level of confidence, C=1−α, such that the area under the standard normal distribution to the right of </w:t>
      </w:r>
      <m:oMath>
        <m:sSub>
          <m:sSubPr>
            <m:ctrl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Z</m:t>
            </m:r>
          </m:e>
          <m:sub>
            <m:f>
              <m:fPr>
                <m:ctrlP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Calibri" w:hAnsi="Cambria Math" w:cs="Calibri"/>
                    <w:sz w:val="24"/>
                    <w:szCs w:val="24"/>
                    <w:lang w:val="en-US"/>
                  </w:rPr>
                  <m:t>2</m:t>
                </m:r>
              </m:den>
            </m:f>
          </m:sub>
        </m:sSub>
      </m:oMath>
      <w:r w:rsidRPr="008238E3">
        <w:rPr>
          <w:rFonts w:ascii="Calibri" w:eastAsia="Calibri" w:hAnsi="Calibri" w:cs="Calibri"/>
          <w:sz w:val="24"/>
          <w:szCs w:val="24"/>
          <w:lang w:val="en-US"/>
        </w:rPr>
        <w:t xml:space="preserve"> is equal to </w:t>
      </w:r>
      <m:oMath>
        <m:f>
          <m:fPr>
            <m:ctrl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2</m:t>
            </m:r>
          </m:den>
        </m:f>
      </m:oMath>
      <w:r w:rsidRPr="008238E3">
        <w:rPr>
          <w:rFonts w:ascii="Calibri" w:eastAsia="Calibri" w:hAnsi="Calibri" w:cs="Calibri"/>
          <w:sz w:val="24"/>
          <w:szCs w:val="24"/>
          <w:lang w:val="en-US"/>
        </w:rPr>
        <w:t>, σ is the population standard deviation, and n is the sample size.</w:t>
      </w:r>
    </w:p>
    <w:p w:rsidR="00D350A0" w:rsidRDefault="00000000" w:rsidP="00D350A0">
      <w:pPr>
        <w:pStyle w:val="BodyTex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350A0">
        <w:t xml:space="preserve"> = 117.67, </w:t>
      </w:r>
      <m:oMath>
        <m:r>
          <w:rPr>
            <w:rFonts w:ascii="Cambria Math" w:hAnsi="Cambria Math"/>
          </w:rPr>
          <m:t>σ</m:t>
        </m:r>
      </m:oMath>
      <w:r w:rsidR="00D350A0">
        <w:t xml:space="preserve"> = 22, n = 1000</w:t>
      </w:r>
    </w:p>
    <w:p w:rsidR="00D350A0" w:rsidRDefault="00000000" w:rsidP="00D350A0">
      <w:pPr>
        <w:pStyle w:val="BodyTex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350A0">
        <w:t xml:space="preserve">  = 0.025</w:t>
      </w:r>
    </w:p>
    <w:p w:rsidR="00D350A0" w:rsidRDefault="00000000" w:rsidP="00AD67B5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 w:rsidR="00D350A0">
        <w:t xml:space="preserve"> = 1.96</w:t>
      </w:r>
    </w:p>
    <w:p w:rsidR="00D350A0" w:rsidRPr="00D350A0" w:rsidRDefault="00D350A0" w:rsidP="00D350A0">
      <w:pPr>
        <w:rPr>
          <w:b/>
          <w:bCs/>
        </w:rPr>
      </w:pPr>
    </w:p>
    <w:p w:rsidR="00D350A0" w:rsidRPr="00822920" w:rsidRDefault="00D350A0" w:rsidP="00D350A0">
      <w:pPr>
        <w:rPr>
          <w:b/>
          <w:bCs/>
        </w:rPr>
      </w:pPr>
      <w:r w:rsidRPr="00822920">
        <w:rPr>
          <w:b/>
          <w:bCs/>
        </w:rPr>
        <w:lastRenderedPageBreak/>
        <w:t>Appendix 3</w:t>
      </w:r>
    </w:p>
    <w:p w:rsidR="00B304B0" w:rsidRPr="00822920" w:rsidRDefault="00822920" w:rsidP="00D350A0">
      <w:pPr>
        <w:rPr>
          <w:rFonts w:ascii="Times" w:hAnsi="Times"/>
          <w:iCs/>
          <w:sz w:val="28"/>
          <w:szCs w:val="28"/>
        </w:rPr>
      </w:pPr>
      <w:r w:rsidRPr="00933197">
        <w:rPr>
          <w:rFonts w:ascii="Times" w:hAnsi="Times"/>
          <w:iCs/>
          <w:sz w:val="28"/>
          <w:szCs w:val="28"/>
        </w:rPr>
        <w:t xml:space="preserve">t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 μ</m:t>
            </m:r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</m:rad>
              </m:den>
            </m:f>
          </m:den>
        </m:f>
      </m:oMath>
    </w:p>
    <w:p w:rsidR="00B304B0" w:rsidRDefault="00B304B0" w:rsidP="00D350A0"/>
    <w:p w:rsidR="00D350A0" w:rsidRPr="00B304B0" w:rsidRDefault="00B304B0" w:rsidP="00D350A0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T</w:t>
      </w:r>
      <w:r w:rsidRPr="00D244E8">
        <w:rPr>
          <w:rFonts w:ascii="Times" w:eastAsiaTheme="minorEastAsia" w:hAnsi="Times"/>
        </w:rPr>
        <w:t>-</w:t>
      </w:r>
      <w:r w:rsidRPr="00D244E8">
        <w:t>test statistic is appropriate to use in this case because the claim is about a population mean, the population is normally distributed, the population standard deviation is unknown, and the sample is a simple random sample</w:t>
      </w:r>
    </w:p>
    <w:p w:rsidR="00D350A0" w:rsidRDefault="00D350A0" w:rsidP="00D350A0"/>
    <w:p w:rsidR="00D350A0" w:rsidRPr="00822920" w:rsidRDefault="00D350A0" w:rsidP="00D350A0">
      <w:pPr>
        <w:rPr>
          <w:b/>
          <w:bCs/>
        </w:rPr>
      </w:pPr>
      <w:r w:rsidRPr="00822920">
        <w:rPr>
          <w:b/>
          <w:bCs/>
        </w:rPr>
        <w:t>Appendix 4 &amp; 5</w:t>
      </w:r>
    </w:p>
    <w:p w:rsidR="00D350A0" w:rsidRDefault="00D350A0" w:rsidP="00D350A0">
      <w:r>
        <w:t xml:space="preserve"> </w:t>
      </w:r>
    </w:p>
    <w:p w:rsidR="00D350A0" w:rsidRDefault="00D350A0" w:rsidP="00D350A0">
      <w:r>
        <w:t>Table 4.1</w:t>
      </w:r>
    </w:p>
    <w:tbl>
      <w:tblPr>
        <w:tblW w:w="3200" w:type="dxa"/>
        <w:tblInd w:w="108" w:type="dxa"/>
        <w:tblLook w:val="04A0" w:firstRow="1" w:lastRow="0" w:firstColumn="1" w:lastColumn="0" w:noHBand="0" w:noVBand="1"/>
      </w:tblPr>
      <w:tblGrid>
        <w:gridCol w:w="1861"/>
        <w:gridCol w:w="1387"/>
      </w:tblGrid>
      <w:tr w:rsidR="00D350A0" w:rsidRPr="00D744CB" w:rsidTr="00EE5993">
        <w:trPr>
          <w:trHeight w:val="290"/>
        </w:trPr>
        <w:tc>
          <w:tcPr>
            <w:tcW w:w="32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Regression Statistics</w:t>
            </w:r>
          </w:p>
        </w:tc>
      </w:tr>
      <w:tr w:rsidR="00D350A0" w:rsidRPr="00D744CB" w:rsidTr="00EE5993">
        <w:trPr>
          <w:trHeight w:val="290"/>
        </w:trPr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Multiple R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0.663601159</w:t>
            </w:r>
          </w:p>
        </w:tc>
      </w:tr>
      <w:tr w:rsidR="00D350A0" w:rsidRPr="00D744CB" w:rsidTr="00EE5993">
        <w:trPr>
          <w:trHeight w:val="290"/>
        </w:trPr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Hlk121417050"/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R Square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0.440366498</w:t>
            </w:r>
          </w:p>
        </w:tc>
      </w:tr>
      <w:bookmarkEnd w:id="0"/>
      <w:tr w:rsidR="00D350A0" w:rsidRPr="00D744CB" w:rsidTr="00EE5993">
        <w:trPr>
          <w:trHeight w:val="290"/>
        </w:trPr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Adjusted R Square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0.439243863</w:t>
            </w:r>
          </w:p>
        </w:tc>
      </w:tr>
      <w:tr w:rsidR="00D350A0" w:rsidRPr="00D744CB" w:rsidTr="00EE5993">
        <w:trPr>
          <w:trHeight w:val="290"/>
        </w:trPr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Standard Error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0.675038629</w:t>
            </w:r>
          </w:p>
        </w:tc>
      </w:tr>
      <w:tr w:rsidR="00D350A0" w:rsidRPr="00D744CB" w:rsidTr="00EE5993">
        <w:trPr>
          <w:trHeight w:val="300"/>
        </w:trPr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Observations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</w:tr>
    </w:tbl>
    <w:p w:rsidR="00D350A0" w:rsidRDefault="00D350A0" w:rsidP="00D350A0"/>
    <w:p w:rsidR="00D350A0" w:rsidRDefault="00D350A0" w:rsidP="00D350A0">
      <w:r>
        <w:t>Table 4.2</w:t>
      </w:r>
    </w:p>
    <w:tbl>
      <w:tblPr>
        <w:tblW w:w="8680" w:type="dxa"/>
        <w:tblInd w:w="108" w:type="dxa"/>
        <w:tblLook w:val="04A0" w:firstRow="1" w:lastRow="0" w:firstColumn="1" w:lastColumn="0" w:noHBand="0" w:noVBand="1"/>
      </w:tblPr>
      <w:tblGrid>
        <w:gridCol w:w="1900"/>
        <w:gridCol w:w="1300"/>
        <w:gridCol w:w="1500"/>
        <w:gridCol w:w="1387"/>
        <w:gridCol w:w="1387"/>
        <w:gridCol w:w="1380"/>
      </w:tblGrid>
      <w:tr w:rsidR="00D350A0" w:rsidRPr="00D744CB" w:rsidTr="00EE599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ANOVA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0A0" w:rsidRPr="00D744CB" w:rsidTr="00EE5993">
        <w:trPr>
          <w:trHeight w:val="29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proofErr w:type="spellStart"/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df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MS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F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Significance F</w:t>
            </w:r>
          </w:p>
        </w:tc>
      </w:tr>
      <w:tr w:rsidR="00D350A0" w:rsidRPr="00D744CB" w:rsidTr="00EE5993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Regression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357.4892412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178.7446206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392.2615399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2.1379E-126</w:t>
            </w:r>
          </w:p>
        </w:tc>
      </w:tr>
      <w:tr w:rsidR="00D350A0" w:rsidRPr="00D744CB" w:rsidTr="00EE5993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Residual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997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454.3101188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0.45567715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350A0" w:rsidRPr="00D744CB" w:rsidTr="00EE5993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999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811.79936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350A0" w:rsidRPr="00D744CB" w:rsidRDefault="00D350A0" w:rsidP="00EE59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744CB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D350A0" w:rsidRDefault="00D350A0" w:rsidP="00D350A0"/>
    <w:p w:rsidR="00D350A0" w:rsidRDefault="00D350A0" w:rsidP="00D350A0">
      <w:r w:rsidRPr="00D744CB">
        <w:t>p-value for the regression equation is found under the "Significance F" column</w:t>
      </w:r>
      <w:r>
        <w:t xml:space="preserve">, </w:t>
      </w:r>
    </w:p>
    <w:p w:rsidR="00D350A0" w:rsidRDefault="00D350A0" w:rsidP="00D350A0"/>
    <w:p w:rsidR="00D350A0" w:rsidRDefault="00D350A0" w:rsidP="00D350A0">
      <w:r>
        <w:t>Since P-</w:t>
      </w:r>
      <w:proofErr w:type="gramStart"/>
      <w:r>
        <w:t>value ,</w:t>
      </w:r>
      <w:proofErr w:type="gramEnd"/>
      <w:r>
        <w:t xml:space="preserve"> </w:t>
      </w:r>
      <w:r w:rsidRPr="00D744CB">
        <w:rPr>
          <w:rFonts w:ascii="Calibri" w:eastAsia="Times New Roman" w:hAnsi="Calibri" w:cs="Calibri"/>
          <w:color w:val="000000"/>
          <w:lang w:eastAsia="en-IN"/>
        </w:rPr>
        <w:t>2.1379E-126</w:t>
      </w:r>
      <w:r w:rsidRPr="00093112">
        <w:t>, is less than the alpha given, 0.0</w:t>
      </w:r>
      <w:r>
        <w:t xml:space="preserve">5, </w:t>
      </w:r>
      <w:r w:rsidRPr="00C666CF">
        <w:t>we can say that there is sufficient evidence at the 0.01 level of significance to conclude that the linear relationship between the independent variables and the dependent variable is statistically significant.</w:t>
      </w:r>
    </w:p>
    <w:p w:rsidR="00D350A0" w:rsidRPr="00D350A0" w:rsidRDefault="00D350A0" w:rsidP="00D350A0"/>
    <w:sectPr w:rsidR="00D350A0" w:rsidRPr="00D35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B7"/>
    <w:rsid w:val="001123B7"/>
    <w:rsid w:val="00687127"/>
    <w:rsid w:val="00714F00"/>
    <w:rsid w:val="00822920"/>
    <w:rsid w:val="00AD67B5"/>
    <w:rsid w:val="00B304B0"/>
    <w:rsid w:val="00D3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E81B"/>
  <w15:chartTrackingRefBased/>
  <w15:docId w15:val="{3DE8F41B-91BF-46F7-BD97-92985E86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0A0"/>
    <w:pPr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350A0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prashanth5228@outlook.com</dc:creator>
  <cp:keywords/>
  <dc:description/>
  <cp:lastModifiedBy>prashanth5228@outlook.com</cp:lastModifiedBy>
  <cp:revision>3</cp:revision>
  <dcterms:created xsi:type="dcterms:W3CDTF">2022-12-08T17:06:00Z</dcterms:created>
  <dcterms:modified xsi:type="dcterms:W3CDTF">2022-12-09T05:34:00Z</dcterms:modified>
</cp:coreProperties>
</file>