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E6B"/>
          <w:sz w:val="56"/>
        </w:rPr>
        <w:t>ASX SCREENER</w:t>
      </w:r>
    </w:p>
    <w:p>
      <w:pPr>
        <w:jc w:val="center"/>
      </w:pPr>
      <w:r>
        <w:rPr>
          <w:rFonts w:ascii="Calibri" w:hAnsi="Calibri"/>
          <w:color w:val="0066A0"/>
          <w:sz w:val="32"/>
        </w:rPr>
        <w:t>Metrics Coverage &amp; Gap Analysis</w:t>
      </w:r>
    </w:p>
    <w:p/>
    <w:p>
      <w:pPr>
        <w:jc w:val="center"/>
      </w:pPr>
      <w:r>
        <w:rPr>
          <w:rFonts w:ascii="Calibri" w:hAnsi="Calibri"/>
          <w:color w:val="505050"/>
          <w:sz w:val="22"/>
        </w:rPr>
        <w:t>Mapping all 11 metric categories against the actual database schema</w:t>
        <w:br/>
        <w:t>Identifying what is present, partial, and missing</w:t>
      </w:r>
    </w:p>
    <w:p/>
    <w:p>
      <w:pPr>
        <w:jc w:val="center"/>
      </w:pPr>
      <w:r>
        <w:rPr>
          <w:rFonts w:ascii="Calibri" w:hAnsi="Calibri"/>
          <w:b/>
          <w:sz w:val="24"/>
        </w:rPr>
        <w:t>✅ Present: 67 metrics   ⚠️ Partial: 5 metrics   ❌ Missing: 13 metrics   |   Overall Coverage: 79%</w:t>
      </w:r>
    </w:p>
    <w:p>
      <w:r>
        <w:br w:type="page"/>
      </w:r>
    </w:p>
    <w:p>
      <w:pPr>
        <w:pStyle w:val="Heading1"/>
        <w:spacing w:before="160" w:after="60"/>
      </w:pPr>
      <w:r>
        <w:rPr>
          <w:rFonts w:ascii="Calibri" w:hAnsi="Calibri"/>
          <w:color w:val="003E6B"/>
        </w:rPr>
        <w:t>Executive Summary</w:t>
      </w:r>
    </w:p>
    <w:p>
      <w:pPr>
        <w:spacing w:after="100"/>
      </w:pPr>
      <w:r>
        <w:rPr>
          <w:rFonts w:ascii="Calibri" w:hAnsi="Calibri"/>
          <w:b/>
          <w:color w:val="006E37"/>
          <w:sz w:val="18"/>
        </w:rPr>
        <w:t>✅ Present</w:t>
      </w:r>
      <w:r>
        <w:rPr>
          <w:rFonts w:ascii="Calibri" w:hAnsi="Calibri"/>
          <w:sz w:val="18"/>
        </w:rPr>
        <w:t xml:space="preserve">  = Metric exists as a dedicated column   </w:t>
      </w:r>
      <w:r>
        <w:rPr>
          <w:rFonts w:ascii="Calibri" w:hAnsi="Calibri"/>
          <w:b/>
          <w:color w:val="A05A00"/>
          <w:sz w:val="18"/>
        </w:rPr>
        <w:t>⚠️ Partial</w:t>
      </w:r>
      <w:r>
        <w:rPr>
          <w:rFonts w:ascii="Calibri" w:hAnsi="Calibri"/>
          <w:sz w:val="18"/>
        </w:rPr>
        <w:t xml:space="preserve">  = Component data exists; ratio not pre-computed   </w:t>
      </w:r>
      <w:r>
        <w:rPr>
          <w:rFonts w:ascii="Calibri" w:hAnsi="Calibri"/>
          <w:b/>
          <w:color w:val="961414"/>
          <w:sz w:val="18"/>
        </w:rPr>
        <w:t>❌ Missing</w:t>
      </w:r>
      <w:r>
        <w:rPr>
          <w:rFonts w:ascii="Calibri" w:hAnsi="Calibri"/>
          <w:sz w:val="18"/>
        </w:rPr>
        <w:t xml:space="preserve">  = Not currently in the platform</w:t>
      </w:r>
    </w:p>
    <w:p>
      <w:pPr>
        <w:pStyle w:val="Heading2"/>
        <w:spacing w:before="160" w:after="60"/>
      </w:pPr>
      <w:r>
        <w:rPr>
          <w:rFonts w:ascii="Calibri" w:hAnsi="Calibri"/>
          <w:color w:val="0066A0"/>
        </w:rPr>
        <w:t>Coverage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460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1296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✅ Present</w:t>
            </w:r>
          </w:p>
        </w:tc>
        <w:tc>
          <w:tcPr>
            <w:tcW w:type="dxa" w:w="1296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⚠️ Partial</w:t>
            </w:r>
          </w:p>
        </w:tc>
        <w:tc>
          <w:tcPr>
            <w:tcW w:type="dxa" w:w="1296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❌ Missing</w:t>
            </w:r>
          </w:p>
        </w:tc>
        <w:tc>
          <w:tcPr>
            <w:tcW w:type="dxa" w:w="1296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Coverage</w:t>
            </w:r>
          </w:p>
        </w:tc>
      </w:tr>
      <w:tr>
        <w:tc>
          <w:tcPr>
            <w:tcW w:type="dxa" w:w="460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1. Fundamental Metrics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100%</w:t>
            </w:r>
          </w:p>
        </w:tc>
      </w:tr>
      <w:tr>
        <w:tc>
          <w:tcPr>
            <w:tcW w:type="dxa" w:w="460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2. Profitability Metrics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100%</w:t>
            </w:r>
          </w:p>
        </w:tc>
      </w:tr>
      <w:tr>
        <w:tc>
          <w:tcPr>
            <w:tcW w:type="dxa" w:w="460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3. Valuation Metrics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100%</w:t>
            </w:r>
          </w:p>
        </w:tc>
      </w:tr>
      <w:tr>
        <w:tc>
          <w:tcPr>
            <w:tcW w:type="dxa" w:w="460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4. Growth Metrics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100%</w:t>
            </w:r>
          </w:p>
        </w:tc>
      </w:tr>
      <w:tr>
        <w:tc>
          <w:tcPr>
            <w:tcW w:type="dxa" w:w="460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5. Financial Health Metrics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100%</w:t>
            </w:r>
          </w:p>
        </w:tc>
      </w:tr>
      <w:tr>
        <w:tc>
          <w:tcPr>
            <w:tcW w:type="dxa" w:w="4608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6. Cash Flow Quality</w:t>
            </w:r>
          </w:p>
        </w:tc>
        <w:tc>
          <w:tcPr>
            <w:tcW w:type="dxa" w:w="1296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296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296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296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70%</w:t>
            </w:r>
          </w:p>
        </w:tc>
      </w:tr>
      <w:tr>
        <w:tc>
          <w:tcPr>
            <w:tcW w:type="dxa" w:w="4608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7. Technical Indicators</w:t>
            </w:r>
          </w:p>
        </w:tc>
        <w:tc>
          <w:tcPr>
            <w:tcW w:type="dxa" w:w="1296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1296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296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296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94%</w:t>
            </w:r>
          </w:p>
        </w:tc>
      </w:tr>
      <w:tr>
        <w:tc>
          <w:tcPr>
            <w:tcW w:type="dxa" w:w="4608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8. Risk Metrics</w:t>
            </w:r>
          </w:p>
        </w:tc>
        <w:tc>
          <w:tcPr>
            <w:tcW w:type="dxa" w:w="1296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296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296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1296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44%</w:t>
            </w:r>
          </w:p>
        </w:tc>
      </w:tr>
      <w:tr>
        <w:tc>
          <w:tcPr>
            <w:tcW w:type="dxa" w:w="4608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9. Dividend Metrics</w:t>
            </w:r>
          </w:p>
        </w:tc>
        <w:tc>
          <w:tcPr>
            <w:tcW w:type="dxa" w:w="1296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1296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296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296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83%</w:t>
            </w:r>
          </w:p>
        </w:tc>
      </w:tr>
      <w:tr>
        <w:tc>
          <w:tcPr>
            <w:tcW w:type="dxa" w:w="4608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10. Momentum Metrics</w:t>
            </w:r>
          </w:p>
        </w:tc>
        <w:tc>
          <w:tcPr>
            <w:tcW w:type="dxa" w:w="1296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1296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296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296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86%</w:t>
            </w:r>
          </w:p>
        </w:tc>
      </w:tr>
      <w:tr>
        <w:tc>
          <w:tcPr>
            <w:tcW w:type="dxa" w:w="460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11. Quality &amp; Moat</w:t>
            </w:r>
          </w:p>
        </w:tc>
        <w:tc>
          <w:tcPr>
            <w:tcW w:type="dxa" w:w="1296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296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1296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1296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36%</w:t>
            </w:r>
          </w:p>
        </w:tc>
      </w:tr>
      <w:tr>
        <w:tc>
          <w:tcPr>
            <w:tcW w:type="dxa" w:w="4608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TOTAL</w:t>
            </w:r>
          </w:p>
        </w:tc>
        <w:tc>
          <w:tcPr>
            <w:tcW w:type="dxa" w:w="1296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67</w:t>
            </w:r>
          </w:p>
        </w:tc>
        <w:tc>
          <w:tcPr>
            <w:tcW w:type="dxa" w:w="1296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1296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13</w:t>
            </w:r>
          </w:p>
        </w:tc>
        <w:tc>
          <w:tcPr>
            <w:tcW w:type="dxa" w:w="1296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79%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rFonts w:ascii="Calibri" w:hAnsi="Calibri"/>
          <w:b w:val="0"/>
          <w:i/>
          <w:sz w:val="18"/>
        </w:rPr>
        <w:t>Categories 1–5 are 100% complete. Categories 6–10 have minor computable gaps only. Category 11 (Quality &amp; Moat) has 6 qualitative indicators that cannot be automated.</w:t>
      </w:r>
    </w:p>
    <w:p>
      <w:r>
        <w:br w:type="page"/>
      </w:r>
    </w:p>
    <w:p>
      <w:pPr>
        <w:pStyle w:val="Heading1"/>
        <w:spacing w:before="160" w:after="60"/>
      </w:pPr>
      <w:r>
        <w:rPr>
          <w:rFonts w:ascii="Calibri" w:hAnsi="Calibri"/>
          <w:color w:val="006E37"/>
        </w:rPr>
        <w:t>1.  Fundamental Metrics  ✅ 7/7 Present</w:t>
      </w:r>
    </w:p>
    <w:p>
      <w:pPr>
        <w:spacing w:before="20" w:after="20"/>
      </w:pPr>
      <w:r>
        <w:rPr>
          <w:rFonts w:ascii="Courier New" w:hAnsi="Courier New"/>
          <w:color w:val="B4B4B4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rFonts w:ascii="Calibri" w:hAnsi="Calibri"/>
          <w:b/>
          <w:color w:val="006E37"/>
          <w:sz w:val="18"/>
        </w:rPr>
        <w:t>✅ Present</w:t>
      </w:r>
      <w:r>
        <w:rPr>
          <w:rFonts w:ascii="Calibri" w:hAnsi="Calibri"/>
          <w:sz w:val="18"/>
        </w:rPr>
        <w:t xml:space="preserve">  = Metric exists as a dedicated column   </w:t>
      </w:r>
      <w:r>
        <w:rPr>
          <w:rFonts w:ascii="Calibri" w:hAnsi="Calibri"/>
          <w:b/>
          <w:color w:val="A05A00"/>
          <w:sz w:val="18"/>
        </w:rPr>
        <w:t>⚠️ Partial</w:t>
      </w:r>
      <w:r>
        <w:rPr>
          <w:rFonts w:ascii="Calibri" w:hAnsi="Calibri"/>
          <w:sz w:val="18"/>
        </w:rPr>
        <w:t xml:space="preserve">  = Component data exists; ratio not pre-computed   </w:t>
      </w:r>
      <w:r>
        <w:rPr>
          <w:rFonts w:ascii="Calibri" w:hAnsi="Calibri"/>
          <w:b/>
          <w:color w:val="961414"/>
          <w:sz w:val="18"/>
        </w:rPr>
        <w:t>❌ Missing</w:t>
      </w:r>
      <w:r>
        <w:rPr>
          <w:rFonts w:ascii="Calibri" w:hAnsi="Calibri"/>
          <w:sz w:val="18"/>
        </w:rPr>
        <w:t xml:space="preserve">  = Not currently in the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736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59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DB Column</w:t>
            </w:r>
          </w:p>
        </w:tc>
        <w:tc>
          <w:tcPr>
            <w:tcW w:type="dxa" w:w="288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Table(s)</w:t>
            </w:r>
          </w:p>
        </w:tc>
        <w:tc>
          <w:tcPr>
            <w:tcW w:type="dxa" w:w="331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73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Revenue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revenue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financials.annual_pnl</w:t>
              <w:br/>
              <w:t>screener.universe</w:t>
            </w:r>
          </w:p>
        </w:tc>
        <w:tc>
          <w:tcPr>
            <w:tcW w:type="dxa" w:w="331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Trailing 12M + all historical years</w:t>
            </w:r>
          </w:p>
        </w:tc>
      </w:tr>
      <w:tr>
        <w:tc>
          <w:tcPr>
            <w:tcW w:type="dxa" w:w="273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Revenue Growth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revenue_growth_1y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331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YoY. Also CAGR 3Y/5Y/7Y/10Y</w:t>
            </w:r>
          </w:p>
        </w:tc>
      </w:tr>
      <w:tr>
        <w:tc>
          <w:tcPr>
            <w:tcW w:type="dxa" w:w="273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Net Profit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net_profit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financials.annual_pnl</w:t>
              <w:br/>
              <w:t>screener.universe</w:t>
            </w:r>
          </w:p>
        </w:tc>
        <w:tc>
          <w:tcPr>
            <w:tcW w:type="dxa" w:w="331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After minority interest</w:t>
            </w:r>
          </w:p>
        </w:tc>
      </w:tr>
      <w:tr>
        <w:tc>
          <w:tcPr>
            <w:tcW w:type="dxa" w:w="273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EPS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eps / eps_diluted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financials.annual_pnl</w:t>
              <w:br/>
              <w:t>market.yearly_metrics</w:t>
            </w:r>
          </w:p>
        </w:tc>
        <w:tc>
          <w:tcPr>
            <w:tcW w:type="dxa" w:w="331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Basic and diluted both present</w:t>
            </w:r>
          </w:p>
        </w:tc>
      </w:tr>
      <w:tr>
        <w:tc>
          <w:tcPr>
            <w:tcW w:type="dxa" w:w="273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Book Value per Share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bvps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331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Tangible BVPS (tbvps) also available</w:t>
            </w:r>
          </w:p>
        </w:tc>
      </w:tr>
      <w:tr>
        <w:tc>
          <w:tcPr>
            <w:tcW w:type="dxa" w:w="273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Market Capitalisation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market_cap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331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Recomputed daily at latest price</w:t>
            </w:r>
          </w:p>
        </w:tc>
      </w:tr>
      <w:tr>
        <w:tc>
          <w:tcPr>
            <w:tcW w:type="dxa" w:w="273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Sector / Industry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sector / industry</w:t>
              <w:br/>
              <w:t>gics_sector / gics_industry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market.securities</w:t>
              <w:br/>
              <w:t>screener.universe</w:t>
            </w:r>
          </w:p>
        </w:tc>
        <w:tc>
          <w:tcPr>
            <w:tcW w:type="dxa" w:w="331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4-level GICS classification. Always filter within sector.</w:t>
            </w:r>
          </w:p>
        </w:tc>
      </w:tr>
    </w:tbl>
    <w:p>
      <w:pPr>
        <w:spacing w:after="60"/>
      </w:pPr>
    </w:p>
    <w:p>
      <w:pPr>
        <w:pStyle w:val="Heading1"/>
        <w:spacing w:before="160" w:after="60"/>
      </w:pPr>
      <w:r>
        <w:rPr>
          <w:rFonts w:ascii="Calibri" w:hAnsi="Calibri"/>
          <w:color w:val="006E37"/>
        </w:rPr>
        <w:t>2.  Profitability Metrics  ✅ 7/7 Present</w:t>
      </w:r>
    </w:p>
    <w:p>
      <w:pPr>
        <w:spacing w:before="20" w:after="20"/>
      </w:pPr>
      <w:r>
        <w:rPr>
          <w:rFonts w:ascii="Courier New" w:hAnsi="Courier New"/>
          <w:color w:val="B4B4B4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rFonts w:ascii="Calibri" w:hAnsi="Calibri"/>
          <w:b/>
          <w:color w:val="006E37"/>
          <w:sz w:val="18"/>
        </w:rPr>
        <w:t>✅ Present</w:t>
      </w:r>
      <w:r>
        <w:rPr>
          <w:rFonts w:ascii="Calibri" w:hAnsi="Calibri"/>
          <w:sz w:val="18"/>
        </w:rPr>
        <w:t xml:space="preserve">  = Metric exists as a dedicated column   </w:t>
      </w:r>
      <w:r>
        <w:rPr>
          <w:rFonts w:ascii="Calibri" w:hAnsi="Calibri"/>
          <w:b/>
          <w:color w:val="A05A00"/>
          <w:sz w:val="18"/>
        </w:rPr>
        <w:t>⚠️ Partial</w:t>
      </w:r>
      <w:r>
        <w:rPr>
          <w:rFonts w:ascii="Calibri" w:hAnsi="Calibri"/>
          <w:sz w:val="18"/>
        </w:rPr>
        <w:t xml:space="preserve">  = Component data exists; ratio not pre-computed   </w:t>
      </w:r>
      <w:r>
        <w:rPr>
          <w:rFonts w:ascii="Calibri" w:hAnsi="Calibri"/>
          <w:b/>
          <w:color w:val="961414"/>
          <w:sz w:val="18"/>
        </w:rPr>
        <w:t>❌ Missing</w:t>
      </w:r>
      <w:r>
        <w:rPr>
          <w:rFonts w:ascii="Calibri" w:hAnsi="Calibri"/>
          <w:sz w:val="18"/>
        </w:rPr>
        <w:t xml:space="preserve">  = Not currently in the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44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16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DB Column</w:t>
            </w:r>
          </w:p>
        </w:tc>
        <w:tc>
          <w:tcPr>
            <w:tcW w:type="dxa" w:w="259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Table(s)</w:t>
            </w:r>
          </w:p>
        </w:tc>
        <w:tc>
          <w:tcPr>
            <w:tcW w:type="dxa" w:w="144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Good Range</w:t>
            </w:r>
          </w:p>
        </w:tc>
        <w:tc>
          <w:tcPr>
            <w:tcW w:type="dxa" w:w="288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Gross Margin</w:t>
            </w:r>
          </w:p>
        </w:tc>
        <w:tc>
          <w:tcPr>
            <w:tcW w:type="dxa" w:w="216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gross_margin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Higher than peers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avg_gross_margin_3y / 5y also available</w:t>
            </w:r>
          </w:p>
        </w:tc>
      </w:tr>
      <w:tr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EBITDA Margin</w:t>
            </w:r>
          </w:p>
        </w:tc>
        <w:tc>
          <w:tcPr>
            <w:tcW w:type="dxa" w:w="216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ebitda_margin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15%+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avg_ebitda_margin_3y / 5y also available</w:t>
            </w:r>
          </w:p>
        </w:tc>
      </w:tr>
      <w:tr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EBIT Margin</w:t>
            </w:r>
          </w:p>
        </w:tc>
        <w:tc>
          <w:tcPr>
            <w:tcW w:type="dxa" w:w="216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ebit_margin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10%+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avg_operating_margin_3y / 5y / 10y</w:t>
            </w:r>
          </w:p>
        </w:tc>
      </w:tr>
      <w:tr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Net Profit Margin</w:t>
            </w:r>
          </w:p>
        </w:tc>
        <w:tc>
          <w:tcPr>
            <w:tcW w:type="dxa" w:w="216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net_margin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8–10%+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avg_net_margin_3y / 5y / 10y</w:t>
            </w:r>
          </w:p>
        </w:tc>
      </w:tr>
      <w:tr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ROE</w:t>
            </w:r>
          </w:p>
        </w:tc>
        <w:tc>
          <w:tcPr>
            <w:tcW w:type="dxa" w:w="216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roe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15%+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avg_roe_3y / 5y / 7y / 10y. Also roae, roaa.</w:t>
            </w:r>
          </w:p>
        </w:tc>
      </w:tr>
      <w:tr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ROA</w:t>
            </w:r>
          </w:p>
        </w:tc>
        <w:tc>
          <w:tcPr>
            <w:tcW w:type="dxa" w:w="216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roa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5%+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avg_roa_3y / 5y</w:t>
            </w:r>
          </w:p>
        </w:tc>
      </w:tr>
      <w:tr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ROIC</w:t>
            </w:r>
          </w:p>
        </w:tc>
        <w:tc>
          <w:tcPr>
            <w:tcW w:type="dxa" w:w="216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roic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12–15%+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avg_roic_3y / 5y. croic (cash ROIC) also available. Best quality indicator.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rFonts w:ascii="Calibri" w:hAnsi="Calibri"/>
          <w:b w:val="0"/>
          <w:i/>
          <w:sz w:val="18"/>
        </w:rPr>
        <w:t>Extra profitability metrics also present: roce, roae, roaa, ocf_margin, fcf_margin, pretax_margin, tax_rate_effective.</w:t>
      </w:r>
    </w:p>
    <w:p>
      <w:pPr>
        <w:pStyle w:val="Heading1"/>
        <w:spacing w:before="160" w:after="60"/>
      </w:pPr>
      <w:r>
        <w:rPr>
          <w:rFonts w:ascii="Calibri" w:hAnsi="Calibri"/>
          <w:color w:val="006E37"/>
        </w:rPr>
        <w:t>3.  Valuation Metrics  ✅ 9/9 Present</w:t>
      </w:r>
    </w:p>
    <w:p>
      <w:pPr>
        <w:spacing w:before="20" w:after="20"/>
      </w:pPr>
      <w:r>
        <w:rPr>
          <w:rFonts w:ascii="Courier New" w:hAnsi="Courier New"/>
          <w:color w:val="B4B4B4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rFonts w:ascii="Calibri" w:hAnsi="Calibri"/>
          <w:b/>
          <w:color w:val="006E37"/>
          <w:sz w:val="18"/>
        </w:rPr>
        <w:t>✅ Present</w:t>
      </w:r>
      <w:r>
        <w:rPr>
          <w:rFonts w:ascii="Calibri" w:hAnsi="Calibri"/>
          <w:sz w:val="18"/>
        </w:rPr>
        <w:t xml:space="preserve">  = Metric exists as a dedicated column   </w:t>
      </w:r>
      <w:r>
        <w:rPr>
          <w:rFonts w:ascii="Calibri" w:hAnsi="Calibri"/>
          <w:b/>
          <w:color w:val="A05A00"/>
          <w:sz w:val="18"/>
        </w:rPr>
        <w:t>⚠️ Partial</w:t>
      </w:r>
      <w:r>
        <w:rPr>
          <w:rFonts w:ascii="Calibri" w:hAnsi="Calibri"/>
          <w:sz w:val="18"/>
        </w:rPr>
        <w:t xml:space="preserve">  = Component data exists; ratio not pre-computed   </w:t>
      </w:r>
      <w:r>
        <w:rPr>
          <w:rFonts w:ascii="Calibri" w:hAnsi="Calibri"/>
          <w:b/>
          <w:color w:val="961414"/>
          <w:sz w:val="18"/>
        </w:rPr>
        <w:t>❌ Missing</w:t>
      </w:r>
      <w:r>
        <w:rPr>
          <w:rFonts w:ascii="Calibri" w:hAnsi="Calibri"/>
          <w:sz w:val="18"/>
        </w:rPr>
        <w:t xml:space="preserve">  = Not currently in the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736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44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DB Column</w:t>
            </w:r>
          </w:p>
        </w:tc>
        <w:tc>
          <w:tcPr>
            <w:tcW w:type="dxa" w:w="288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Table(s)</w:t>
            </w:r>
          </w:p>
        </w:tc>
        <w:tc>
          <w:tcPr>
            <w:tcW w:type="dxa" w:w="3456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73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P/E Ratio</w:t>
            </w:r>
          </w:p>
        </w:tc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pe_ratio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345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Trailing. pe_5y_avg also stored.</w:t>
            </w:r>
          </w:p>
        </w:tc>
      </w:tr>
      <w:tr>
        <w:tc>
          <w:tcPr>
            <w:tcW w:type="dxa" w:w="273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Forward P/E</w:t>
            </w:r>
          </w:p>
        </w:tc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pe_ratio_forward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screener.universe</w:t>
            </w:r>
          </w:p>
        </w:tc>
        <w:tc>
          <w:tcPr>
            <w:tcW w:type="dxa" w:w="345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Migration 011. Populated from EODHD forecast EPS.</w:t>
            </w:r>
          </w:p>
        </w:tc>
      </w:tr>
      <w:tr>
        <w:tc>
          <w:tcPr>
            <w:tcW w:type="dxa" w:w="273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PEG Ratio</w:t>
            </w:r>
          </w:p>
        </w:tc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peg_ratio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345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pe_ratio / eps_growth_1y. &lt;1 attractive.</w:t>
            </w:r>
          </w:p>
        </w:tc>
      </w:tr>
      <w:tr>
        <w:tc>
          <w:tcPr>
            <w:tcW w:type="dxa" w:w="273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Price to Book</w:t>
            </w:r>
          </w:p>
        </w:tc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pb_ratio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345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price / bvps. Useful for banks/resources.</w:t>
            </w:r>
          </w:p>
        </w:tc>
      </w:tr>
      <w:tr>
        <w:tc>
          <w:tcPr>
            <w:tcW w:type="dxa" w:w="273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EV/EBITDA</w:t>
            </w:r>
          </w:p>
        </w:tc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ev_ebitda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345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Capital-structure-neutral. Preferred for comparisons.</w:t>
            </w:r>
          </w:p>
        </w:tc>
      </w:tr>
      <w:tr>
        <w:tc>
          <w:tcPr>
            <w:tcW w:type="dxa" w:w="273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EV/EBIT</w:t>
            </w:r>
          </w:p>
        </w:tc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ev_ebit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345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Useful for profitable firms.</w:t>
            </w:r>
          </w:p>
        </w:tc>
      </w:tr>
      <w:tr>
        <w:tc>
          <w:tcPr>
            <w:tcW w:type="dxa" w:w="273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Price to Sales</w:t>
            </w:r>
          </w:p>
        </w:tc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ps_ratio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345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market_cap / revenue. Good for early-growth.</w:t>
            </w:r>
          </w:p>
        </w:tc>
      </w:tr>
      <w:tr>
        <w:tc>
          <w:tcPr>
            <w:tcW w:type="dxa" w:w="273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FCF Yield</w:t>
            </w:r>
          </w:p>
        </w:tc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fcf_yield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345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fcf / market_cap. 4–6%+ good.</w:t>
            </w:r>
          </w:p>
        </w:tc>
      </w:tr>
      <w:tr>
        <w:tc>
          <w:tcPr>
            <w:tcW w:type="dxa" w:w="273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Dividend Yield</w:t>
            </w:r>
          </w:p>
        </w:tc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dividend_yield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345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Standard + grossed_up_yield (includes franking credit).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rFonts w:ascii="Calibri" w:hAnsi="Calibri"/>
          <w:b w:val="0"/>
          <w:i/>
          <w:sz w:val="18"/>
        </w:rPr>
        <w:t>Extra valuation metrics: pcf_ratio, p_fcf_ratio, ev_revenue, ev_fcf, earnings_yield, graham_number, ncavps.</w:t>
      </w:r>
    </w:p>
    <w:p>
      <w:r>
        <w:br w:type="page"/>
      </w:r>
    </w:p>
    <w:p>
      <w:pPr>
        <w:pStyle w:val="Heading1"/>
        <w:spacing w:before="160" w:after="60"/>
      </w:pPr>
      <w:r>
        <w:rPr>
          <w:rFonts w:ascii="Calibri" w:hAnsi="Calibri"/>
          <w:color w:val="006E37"/>
        </w:rPr>
        <w:t>4.  Growth Metrics  ✅ 8/8 Present</w:t>
      </w:r>
    </w:p>
    <w:p>
      <w:pPr>
        <w:spacing w:before="20" w:after="20"/>
      </w:pPr>
      <w:r>
        <w:rPr>
          <w:rFonts w:ascii="Courier New" w:hAnsi="Courier New"/>
          <w:color w:val="B4B4B4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rFonts w:ascii="Calibri" w:hAnsi="Calibri"/>
          <w:b/>
          <w:color w:val="006E37"/>
          <w:sz w:val="18"/>
        </w:rPr>
        <w:t>✅ Present</w:t>
      </w:r>
      <w:r>
        <w:rPr>
          <w:rFonts w:ascii="Calibri" w:hAnsi="Calibri"/>
          <w:sz w:val="18"/>
        </w:rPr>
        <w:t xml:space="preserve">  = Metric exists as a dedicated column   </w:t>
      </w:r>
      <w:r>
        <w:rPr>
          <w:rFonts w:ascii="Calibri" w:hAnsi="Calibri"/>
          <w:b/>
          <w:color w:val="A05A00"/>
          <w:sz w:val="18"/>
        </w:rPr>
        <w:t>⚠️ Partial</w:t>
      </w:r>
      <w:r>
        <w:rPr>
          <w:rFonts w:ascii="Calibri" w:hAnsi="Calibri"/>
          <w:sz w:val="18"/>
        </w:rPr>
        <w:t xml:space="preserve">  = Component data exists; ratio not pre-computed   </w:t>
      </w:r>
      <w:r>
        <w:rPr>
          <w:rFonts w:ascii="Calibri" w:hAnsi="Calibri"/>
          <w:b/>
          <w:color w:val="961414"/>
          <w:sz w:val="18"/>
        </w:rPr>
        <w:t>❌ Missing</w:t>
      </w:r>
      <w:r>
        <w:rPr>
          <w:rFonts w:ascii="Calibri" w:hAnsi="Calibri"/>
          <w:sz w:val="18"/>
        </w:rPr>
        <w:t xml:space="preserve">  = Not currently in the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88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16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DB Column(s)</w:t>
            </w:r>
          </w:p>
        </w:tc>
        <w:tc>
          <w:tcPr>
            <w:tcW w:type="dxa" w:w="259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Table(s)</w:t>
            </w:r>
          </w:p>
        </w:tc>
        <w:tc>
          <w:tcPr>
            <w:tcW w:type="dxa" w:w="288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Revenue Growth YoY</w:t>
            </w:r>
          </w:p>
        </w:tc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revenue_growth_1y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Year-on-year.</w:t>
            </w:r>
          </w:p>
        </w:tc>
      </w:tr>
      <w:tr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Revenue CAGR 3Y / 5Y</w:t>
            </w:r>
          </w:p>
        </w:tc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revenue_cagr_3y</w:t>
              <w:br/>
              <w:t>revenue_cagr_5y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Also 7Y, 10Y, median_5y, median_10y.</w:t>
            </w:r>
          </w:p>
        </w:tc>
      </w:tr>
      <w:tr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EPS Growth YoY</w:t>
            </w:r>
          </w:p>
        </w:tc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eps_growth_1y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Year-on-year.</w:t>
            </w:r>
          </w:p>
        </w:tc>
      </w:tr>
      <w:tr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EPS CAGR 3Y / 5Y</w:t>
            </w:r>
          </w:p>
        </w:tc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eps_cagr_3y</w:t>
              <w:br/>
              <w:t>eps_cagr_5y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Also 7Y, 10Y. avg_eps_growth_3y/5y/10y.</w:t>
            </w:r>
          </w:p>
        </w:tc>
      </w:tr>
      <w:tr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EBITDA Growth</w:t>
            </w:r>
          </w:p>
        </w:tc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ebitda_growth_1y</w:t>
              <w:br/>
              <w:t>ebitda_cagr_3y/5y/7y/10y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YoY + CAGR across 4 timeframes.</w:t>
            </w:r>
          </w:p>
        </w:tc>
      </w:tr>
      <w:tr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FCF Growth</w:t>
            </w:r>
          </w:p>
        </w:tc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fcf_growth_1y</w:t>
              <w:br/>
              <w:t>fcf_cagr_3y</w:t>
              <w:br/>
              <w:t>fcf_cagr_5y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YoY + 3Y + 5Y CAGR.</w:t>
            </w:r>
          </w:p>
        </w:tc>
      </w:tr>
      <w:tr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Book Value Growth</w:t>
            </w:r>
          </w:p>
        </w:tc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bvps_growth_1y</w:t>
              <w:br/>
              <w:t>bvps_cagr_3y</w:t>
              <w:br/>
              <w:t>bvps_cagr_5y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YoY + 3Y + 5Y CAGR.</w:t>
            </w:r>
          </w:p>
        </w:tc>
      </w:tr>
      <w:tr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Dividend Growth</w:t>
            </w:r>
          </w:p>
        </w:tc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dividend_cagr_3y</w:t>
              <w:br/>
              <w:t>dividend_cagr_5y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DPS CAGR 3Y and 5Y.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rFonts w:ascii="Calibri" w:hAnsi="Calibri"/>
          <w:b w:val="0"/>
          <w:i/>
          <w:sz w:val="18"/>
        </w:rPr>
        <w:t>Extra growth metrics: gross_profit_growth_1y, net_income_cagr_3y/5y/7y/10y, ocf_growth_1y, price_cagr_1y/3y/5y/7y/10y.</w:t>
      </w:r>
    </w:p>
    <w:p>
      <w:pPr>
        <w:pStyle w:val="Heading1"/>
        <w:spacing w:before="160" w:after="60"/>
      </w:pPr>
      <w:r>
        <w:rPr>
          <w:rFonts w:ascii="Calibri" w:hAnsi="Calibri"/>
          <w:color w:val="006E37"/>
        </w:rPr>
        <w:t>5.  Financial Health Metrics  ✅ 8/8 Present</w:t>
      </w:r>
    </w:p>
    <w:p>
      <w:pPr>
        <w:spacing w:before="20" w:after="20"/>
      </w:pPr>
      <w:r>
        <w:rPr>
          <w:rFonts w:ascii="Courier New" w:hAnsi="Courier New"/>
          <w:color w:val="B4B4B4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rFonts w:ascii="Calibri" w:hAnsi="Calibri"/>
          <w:b/>
          <w:color w:val="006E37"/>
          <w:sz w:val="18"/>
        </w:rPr>
        <w:t>✅ Present</w:t>
      </w:r>
      <w:r>
        <w:rPr>
          <w:rFonts w:ascii="Calibri" w:hAnsi="Calibri"/>
          <w:sz w:val="18"/>
        </w:rPr>
        <w:t xml:space="preserve">  = Metric exists as a dedicated column   </w:t>
      </w:r>
      <w:r>
        <w:rPr>
          <w:rFonts w:ascii="Calibri" w:hAnsi="Calibri"/>
          <w:b/>
          <w:color w:val="A05A00"/>
          <w:sz w:val="18"/>
        </w:rPr>
        <w:t>⚠️ Partial</w:t>
      </w:r>
      <w:r>
        <w:rPr>
          <w:rFonts w:ascii="Calibri" w:hAnsi="Calibri"/>
          <w:sz w:val="18"/>
        </w:rPr>
        <w:t xml:space="preserve">  = Component data exists; ratio not pre-computed   </w:t>
      </w:r>
      <w:r>
        <w:rPr>
          <w:rFonts w:ascii="Calibri" w:hAnsi="Calibri"/>
          <w:b/>
          <w:color w:val="961414"/>
          <w:sz w:val="18"/>
        </w:rPr>
        <w:t>❌ Missing</w:t>
      </w:r>
      <w:r>
        <w:rPr>
          <w:rFonts w:ascii="Calibri" w:hAnsi="Calibri"/>
          <w:sz w:val="18"/>
        </w:rPr>
        <w:t xml:space="preserve">  = Not currently in the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44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736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DB Column(s)</w:t>
            </w:r>
          </w:p>
        </w:tc>
        <w:tc>
          <w:tcPr>
            <w:tcW w:type="dxa" w:w="259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Table(s)</w:t>
            </w:r>
          </w:p>
        </w:tc>
        <w:tc>
          <w:tcPr>
            <w:tcW w:type="dxa" w:w="144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Good Range</w:t>
            </w:r>
          </w:p>
        </w:tc>
        <w:tc>
          <w:tcPr>
            <w:tcW w:type="dxa" w:w="2304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Debt to Equity</w:t>
            </w:r>
          </w:p>
        </w:tc>
        <w:tc>
          <w:tcPr>
            <w:tcW w:type="dxa" w:w="273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debt_to_equity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&lt;0.5 conservative</w:t>
            </w:r>
          </w:p>
        </w:tc>
        <w:tc>
          <w:tcPr>
            <w:tcW w:type="dxa" w:w="230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debt_to_assets, net_debt_to_equity also present.</w:t>
            </w:r>
          </w:p>
        </w:tc>
      </w:tr>
      <w:tr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Net Debt / EBITDA</w:t>
            </w:r>
          </w:p>
        </w:tc>
        <w:tc>
          <w:tcPr>
            <w:tcW w:type="dxa" w:w="273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net_debt_to_ebitda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&lt;2 good, &lt;1 strong</w:t>
            </w:r>
          </w:p>
        </w:tc>
        <w:tc>
          <w:tcPr>
            <w:tcW w:type="dxa" w:w="230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debt_to_ebitda (gross) also available.</w:t>
            </w:r>
          </w:p>
        </w:tc>
      </w:tr>
      <w:tr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Interest Coverage</w:t>
            </w:r>
          </w:p>
        </w:tc>
        <w:tc>
          <w:tcPr>
            <w:tcW w:type="dxa" w:w="273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interest_coverage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&gt;5 strong</w:t>
            </w:r>
          </w:p>
        </w:tc>
        <w:tc>
          <w:tcPr>
            <w:tcW w:type="dxa" w:w="230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EBIT / interest_expense.</w:t>
            </w:r>
          </w:p>
        </w:tc>
      </w:tr>
      <w:tr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Current Ratio</w:t>
            </w:r>
          </w:p>
        </w:tc>
        <w:tc>
          <w:tcPr>
            <w:tcW w:type="dxa" w:w="273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current_ratio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&gt;1.5 good</w:t>
            </w:r>
          </w:p>
        </w:tc>
        <w:tc>
          <w:tcPr>
            <w:tcW w:type="dxa" w:w="230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avg_current_ratio_3y also stored.</w:t>
            </w:r>
          </w:p>
        </w:tc>
      </w:tr>
      <w:tr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Quick Ratio</w:t>
            </w:r>
          </w:p>
        </w:tc>
        <w:tc>
          <w:tcPr>
            <w:tcW w:type="dxa" w:w="273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quick_ratio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&gt;1 good</w:t>
            </w:r>
          </w:p>
        </w:tc>
        <w:tc>
          <w:tcPr>
            <w:tcW w:type="dxa" w:w="230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cash_ratio also available.</w:t>
            </w:r>
          </w:p>
        </w:tc>
      </w:tr>
      <w:tr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Cash Balance</w:t>
            </w:r>
          </w:p>
        </w:tc>
        <w:tc>
          <w:tcPr>
            <w:tcW w:type="dxa" w:w="273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cash_equivalents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financials.annual_balance_sheet</w:t>
              <w:br/>
              <w:t>screener.universe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Higher better</w:t>
            </w:r>
          </w:p>
        </w:tc>
        <w:tc>
          <w:tcPr>
            <w:tcW w:type="dxa" w:w="230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net_debt, working_capital also present.</w:t>
            </w:r>
          </w:p>
        </w:tc>
      </w:tr>
      <w:tr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Operating Cash Flow</w:t>
            </w:r>
          </w:p>
        </w:tc>
        <w:tc>
          <w:tcPr>
            <w:tcW w:type="dxa" w:w="273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cfo</w:t>
              <w:br/>
              <w:t>ocf_margin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financials.annual_cashflow</w:t>
              <w:br/>
              <w:t>market.yearly_metrics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  <w:tc>
          <w:tcPr>
            <w:tcW w:type="dxa" w:w="230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ocf_margin=cfo/revenue. ocf_growth_1y also available.</w:t>
            </w:r>
          </w:p>
        </w:tc>
      </w:tr>
      <w:tr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Free Cash Flow</w:t>
            </w:r>
          </w:p>
        </w:tc>
        <w:tc>
          <w:tcPr>
            <w:tcW w:type="dxa" w:w="273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fcf</w:t>
              <w:br/>
              <w:t>fcf_margin</w:t>
              <w:br/>
              <w:t>fcf_yield</w:t>
              <w:br/>
              <w:t>fcf_per_share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financials.annual_cashflow</w:t>
              <w:br/>
              <w:t>market.yearly_metrics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Positive + growing</w:t>
            </w:r>
          </w:p>
        </w:tc>
        <w:tc>
          <w:tcPr>
            <w:tcW w:type="dxa" w:w="230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Full FCF suite: amount, margin, yield, per share.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160" w:after="60"/>
      </w:pPr>
      <w:r>
        <w:rPr>
          <w:rFonts w:ascii="Calibri" w:hAnsi="Calibri"/>
          <w:color w:val="A05A00"/>
        </w:rPr>
        <w:t>6.  Cash Flow Quality Metrics  ⚠️ 3✅ 1⚠️ 1❌  (70% coverage)</w:t>
      </w:r>
    </w:p>
    <w:p>
      <w:pPr>
        <w:spacing w:before="20" w:after="20"/>
      </w:pPr>
      <w:r>
        <w:rPr>
          <w:rFonts w:ascii="Courier New" w:hAnsi="Courier New"/>
          <w:color w:val="B4B4B4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rFonts w:ascii="Calibri" w:hAnsi="Calibri"/>
          <w:b/>
          <w:color w:val="006E37"/>
          <w:sz w:val="18"/>
        </w:rPr>
        <w:t>✅ Present</w:t>
      </w:r>
      <w:r>
        <w:rPr>
          <w:rFonts w:ascii="Calibri" w:hAnsi="Calibri"/>
          <w:sz w:val="18"/>
        </w:rPr>
        <w:t xml:space="preserve">  = Metric exists as a dedicated column   </w:t>
      </w:r>
      <w:r>
        <w:rPr>
          <w:rFonts w:ascii="Calibri" w:hAnsi="Calibri"/>
          <w:b/>
          <w:color w:val="A05A00"/>
          <w:sz w:val="18"/>
        </w:rPr>
        <w:t>⚠️ Partial</w:t>
      </w:r>
      <w:r>
        <w:rPr>
          <w:rFonts w:ascii="Calibri" w:hAnsi="Calibri"/>
          <w:sz w:val="18"/>
        </w:rPr>
        <w:t xml:space="preserve">  = Component data exists; ratio not pre-computed   </w:t>
      </w:r>
      <w:r>
        <w:rPr>
          <w:rFonts w:ascii="Calibri" w:hAnsi="Calibri"/>
          <w:b/>
          <w:color w:val="961414"/>
          <w:sz w:val="18"/>
        </w:rPr>
        <w:t>❌ Missing</w:t>
      </w:r>
      <w:r>
        <w:rPr>
          <w:rFonts w:ascii="Calibri" w:hAnsi="Calibri"/>
          <w:sz w:val="18"/>
        </w:rPr>
        <w:t xml:space="preserve">  = Not currently in the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16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88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DB Column</w:t>
            </w:r>
          </w:p>
        </w:tc>
        <w:tc>
          <w:tcPr>
            <w:tcW w:type="dxa" w:w="259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Table(s)</w:t>
            </w:r>
          </w:p>
        </w:tc>
        <w:tc>
          <w:tcPr>
            <w:tcW w:type="dxa" w:w="288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168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⚠️ OCF / Net Profit</w:t>
              <w:br/>
              <w:t>(Cash Earnings Quality)</w:t>
            </w:r>
          </w:p>
        </w:tc>
        <w:tc>
          <w:tcPr>
            <w:tcW w:type="dxa" w:w="2880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fcf_to_net_income exists</w:t>
              <w:br/>
              <w:t>ocf_to_net_profit MISSING</w:t>
            </w:r>
          </w:p>
        </w:tc>
        <w:tc>
          <w:tcPr>
            <w:tcW w:type="dxa" w:w="2592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screener.universe (partial)</w:t>
            </w:r>
          </w:p>
        </w:tc>
        <w:tc>
          <w:tcPr>
            <w:tcW w:type="dxa" w:w="2880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DATA AVAILABLE. cfo and net_profit both exist. ocf_to_net_profit ratio not pre-computed but trivially addable to market.yearly_metrics. Related: fcf_to_net_income is already in screener.universe.</w:t>
            </w:r>
          </w:p>
        </w:tc>
      </w:tr>
      <w:tr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FCF Margin (FCF / Revenue)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fcf_margin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Fully implemented. avg_fcf_margin_3y / 5y also stored.</w:t>
            </w:r>
          </w:p>
        </w:tc>
      </w:tr>
      <w:tr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Capex / Revenue (Capital Intensity)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capex_intensity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capex / revenue. Also raw capex in financials.annual_cashflow.</w:t>
            </w:r>
          </w:p>
        </w:tc>
      </w:tr>
      <w:tr>
        <w:tc>
          <w:tcPr>
            <w:tcW w:type="dxa" w:w="316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❌ FCF Positive Years</w:t>
              <w:br/>
              <w:t>(Consecutive count)</w:t>
            </w:r>
          </w:p>
        </w:tc>
        <w:tc>
          <w:tcPr>
            <w:tcW w:type="dxa" w:w="288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NOT present</w:t>
            </w:r>
          </w:p>
        </w:tc>
        <w:tc>
          <w:tcPr>
            <w:tcW w:type="dxa" w:w="2592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Nowhere in schema</w:t>
            </w:r>
          </w:p>
        </w:tc>
        <w:tc>
          <w:tcPr>
            <w:tcW w:type="dxa" w:w="288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DATA AVAILABLE. fcf stored per year in financials.annual_cashflow. Easy to add as rolling COUNT of consecutive years with fcf &gt; 0 to market.yearly_metrics.</w:t>
            </w:r>
          </w:p>
        </w:tc>
      </w:tr>
      <w:tr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Cash Conversion Cycle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cash_conversion_cycle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CCC = receivables_days + inventory_days − payables_days. All three components also stored separately.</w:t>
            </w:r>
          </w:p>
        </w:tc>
      </w:tr>
    </w:tbl>
    <w:p>
      <w:pPr>
        <w:spacing w:after="60"/>
      </w:pPr>
    </w:p>
    <w:p>
      <w:pPr>
        <w:pStyle w:val="Heading3"/>
        <w:spacing w:before="80" w:after="60"/>
      </w:pPr>
      <w:r>
        <w:rPr>
          <w:rFonts w:ascii="Calibri" w:hAnsi="Calibri"/>
          <w:color w:val="961414"/>
        </w:rPr>
        <w:t>Action Items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1.  Add ocf_to_net_profit = cfo / net_profit  →  market.yearly_metrics + screener.universe.   (1 column, all data available, 1-day effort)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2.  Add fcf_positive_years = COUNT(consecutive years with fcf &gt; 0)  →  market.yearly_metrics.   (1 column, all data available, 1-day effort)</w:t>
      </w:r>
    </w:p>
    <w:p>
      <w:pPr>
        <w:pStyle w:val="Heading1"/>
        <w:spacing w:before="160" w:after="60"/>
      </w:pPr>
      <w:r>
        <w:rPr>
          <w:rFonts w:ascii="Calibri" w:hAnsi="Calibri"/>
          <w:color w:val="0066A0"/>
        </w:rPr>
        <w:t>7.  Technical Indicators  ⚠️ 8✅ 1⚠️  (94% coverage)</w:t>
      </w:r>
    </w:p>
    <w:p>
      <w:pPr>
        <w:spacing w:before="20" w:after="20"/>
      </w:pPr>
      <w:r>
        <w:rPr>
          <w:rFonts w:ascii="Courier New" w:hAnsi="Courier New"/>
          <w:color w:val="B4B4B4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rFonts w:ascii="Calibri" w:hAnsi="Calibri"/>
          <w:b/>
          <w:color w:val="006E37"/>
          <w:sz w:val="18"/>
        </w:rPr>
        <w:t>✅ Present</w:t>
      </w:r>
      <w:r>
        <w:rPr>
          <w:rFonts w:ascii="Calibri" w:hAnsi="Calibri"/>
          <w:sz w:val="18"/>
        </w:rPr>
        <w:t xml:space="preserve">  = Metric exists as a dedicated column   </w:t>
      </w:r>
      <w:r>
        <w:rPr>
          <w:rFonts w:ascii="Calibri" w:hAnsi="Calibri"/>
          <w:b/>
          <w:color w:val="A05A00"/>
          <w:sz w:val="18"/>
        </w:rPr>
        <w:t>⚠️ Partial</w:t>
      </w:r>
      <w:r>
        <w:rPr>
          <w:rFonts w:ascii="Calibri" w:hAnsi="Calibri"/>
          <w:sz w:val="18"/>
        </w:rPr>
        <w:t xml:space="preserve">  = Component data exists; ratio not pre-computed   </w:t>
      </w:r>
      <w:r>
        <w:rPr>
          <w:rFonts w:ascii="Calibri" w:hAnsi="Calibri"/>
          <w:b/>
          <w:color w:val="961414"/>
          <w:sz w:val="18"/>
        </w:rPr>
        <w:t>❌ Missing</w:t>
      </w:r>
      <w:r>
        <w:rPr>
          <w:rFonts w:ascii="Calibri" w:hAnsi="Calibri"/>
          <w:sz w:val="18"/>
        </w:rPr>
        <w:t xml:space="preserve">  = Not currently in the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88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Indicator</w:t>
            </w:r>
          </w:p>
        </w:tc>
        <w:tc>
          <w:tcPr>
            <w:tcW w:type="dxa" w:w="3024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DB Column(s)</w:t>
            </w:r>
          </w:p>
        </w:tc>
        <w:tc>
          <w:tcPr>
            <w:tcW w:type="dxa" w:w="259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Table(s)</w:t>
            </w:r>
          </w:p>
        </w:tc>
        <w:tc>
          <w:tcPr>
            <w:tcW w:type="dxa" w:w="3024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50-Day Moving Average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sma_50</w:t>
              <w:br/>
              <w:t>dma50_ratio</w:t>
              <w:br/>
              <w:t>above_sma50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market.daily_metrics</w:t>
              <w:br/>
              <w:t>screener.universe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Value + ratio vs price + binary flag. Also sma_5/10/20/100/200 all present.</w:t>
            </w:r>
          </w:p>
        </w:tc>
      </w:tr>
      <w:tr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200-Day Moving Average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sma_200</w:t>
              <w:br/>
              <w:t>dma200_ratio</w:t>
              <w:br/>
              <w:t>above_sma200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market.daily_metrics</w:t>
              <w:br/>
              <w:t>screener.universe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Full suite of EMA also: ema_9/12/20/26/50/200.</w:t>
            </w:r>
          </w:p>
        </w:tc>
      </w:tr>
      <w:tr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50DMA &gt; 200DMA (Cross signals)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golden_cross</w:t>
              <w:br/>
              <w:t>death_cross</w:t>
              <w:br/>
              <w:t>macd_bullish_cross</w:t>
              <w:br/>
              <w:t>macd_bearish_cross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market.daily_metrics</w:t>
              <w:br/>
              <w:t>screener.universe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Binary flags for both daily MA cross and MACD cross.</w:t>
            </w:r>
          </w:p>
        </w:tc>
      </w:tr>
      <w:tr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RSI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rsi_14</w:t>
              <w:br/>
              <w:t>rsi_7</w:t>
              <w:br/>
              <w:t>rsi_21</w:t>
              <w:br/>
              <w:t>rsi_overbought</w:t>
              <w:br/>
              <w:t>rsi_oversold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market.daily_metrics</w:t>
              <w:br/>
              <w:t>screener.universe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3 periods (7/14/21). Overbought (&gt;70) and oversold (&lt;30) binary flags.</w:t>
            </w:r>
          </w:p>
        </w:tc>
      </w:tr>
      <w:tr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MACD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macd_line</w:t>
              <w:br/>
              <w:t>macd_signal</w:t>
              <w:br/>
              <w:t>macd_hist</w:t>
              <w:br/>
              <w:t>macd_bullish_cross</w:t>
              <w:br/>
              <w:t>macd_bearish_cross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market.daily_metrics</w:t>
              <w:br/>
              <w:t>screener.universe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Full MACD suite. Weekly + Monthly MACD also in respective tables.</w:t>
            </w:r>
          </w:p>
        </w:tc>
      </w:tr>
      <w:tr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Volume Trend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relative_volume</w:t>
              <w:br/>
              <w:t>volume_avg_20d</w:t>
              <w:br/>
              <w:t>obv</w:t>
              <w:br/>
              <w:t>cmf_20</w:t>
              <w:br/>
              <w:t>mfi_14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market.daily_metrics</w:t>
              <w:br/>
              <w:t>screener.universe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relative_volume=vol/20d_avg. OBV, CMF, MFI also stored. Volume spike anomaly active.</w:t>
            </w:r>
          </w:p>
        </w:tc>
      </w:tr>
      <w:tr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Relative Strength vs Index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relative_strength_xjo</w:t>
              <w:br/>
              <w:t>momentum_score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market.monthly_metrics</w:t>
              <w:br/>
              <w:t>screener.universe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return_12m minus ASX 200 return_12m. Momentum percentile rank 0–100 in universe.</w:t>
            </w:r>
          </w:p>
        </w:tc>
      </w:tr>
      <w:tr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Price near 52-Week High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pct_from_52w_high</w:t>
              <w:br/>
              <w:t>new_52w_high</w:t>
              <w:br/>
              <w:t>high_52w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market.daily_metrics</w:t>
              <w:br/>
              <w:t>screener.universe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% below 52w high + new high flag + absolute 52w high level. pct_from_ath also available.</w:t>
            </w:r>
          </w:p>
        </w:tc>
      </w:tr>
      <w:tr>
        <w:tc>
          <w:tcPr>
            <w:tcW w:type="dxa" w:w="2880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⚠️ Price above VWAP</w:t>
            </w:r>
          </w:p>
        </w:tc>
        <w:tc>
          <w:tcPr>
            <w:tcW w:type="dxa" w:w="3024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vwap (value stored)</w:t>
              <w:br/>
              <w:t>no above_vwap binary flag</w:t>
            </w:r>
          </w:p>
        </w:tc>
        <w:tc>
          <w:tcPr>
            <w:tcW w:type="dxa" w:w="2592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market.daily_metrics</w:t>
            </w:r>
          </w:p>
        </w:tc>
        <w:tc>
          <w:tcPr>
            <w:tcW w:type="dxa" w:w="3024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VWAP is computed and stored. A binary above_vwap flag is NOT pre-computed. Trivially addable: CASE WHEN close &gt; vwap THEN 1 ELSE 0 END.</w:t>
            </w:r>
          </w:p>
        </w:tc>
      </w:tr>
    </w:tbl>
    <w:p>
      <w:pPr>
        <w:spacing w:after="60"/>
      </w:pPr>
    </w:p>
    <w:p>
      <w:pPr>
        <w:pStyle w:val="Heading3"/>
        <w:spacing w:before="80" w:after="60"/>
      </w:pPr>
      <w:r>
        <w:rPr>
          <w:rFonts w:ascii="Calibri" w:hAnsi="Calibri"/>
          <w:color w:val="A05A00"/>
        </w:rPr>
        <w:t>Action Item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Add above_vwap = CASE WHEN close &gt; vwap THEN 1 ELSE 0 END  →  market.daily_metrics + screener.universe.   (1 column, data available, 1-day effort)</w:t>
      </w:r>
    </w:p>
    <w:p>
      <w:r>
        <w:br w:type="page"/>
      </w:r>
    </w:p>
    <w:p>
      <w:pPr>
        <w:pStyle w:val="Heading1"/>
        <w:spacing w:before="160" w:after="60"/>
      </w:pPr>
      <w:r>
        <w:rPr>
          <w:rFonts w:ascii="Calibri" w:hAnsi="Calibri"/>
          <w:color w:val="961414"/>
        </w:rPr>
        <w:t>8.  Risk Metrics  ⚠️ 3✅ 1⚠️ 4❌  (44% coverage)</w:t>
      </w:r>
    </w:p>
    <w:p>
      <w:pPr>
        <w:spacing w:before="20" w:after="20"/>
      </w:pPr>
      <w:r>
        <w:rPr>
          <w:rFonts w:ascii="Courier New" w:hAnsi="Courier New"/>
          <w:color w:val="B4B4B4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rFonts w:ascii="Calibri" w:hAnsi="Calibri"/>
          <w:b/>
          <w:color w:val="006E37"/>
          <w:sz w:val="18"/>
        </w:rPr>
        <w:t>✅ Present</w:t>
      </w:r>
      <w:r>
        <w:rPr>
          <w:rFonts w:ascii="Calibri" w:hAnsi="Calibri"/>
          <w:sz w:val="18"/>
        </w:rPr>
        <w:t xml:space="preserve">  = Metric exists as a dedicated column   </w:t>
      </w:r>
      <w:r>
        <w:rPr>
          <w:rFonts w:ascii="Calibri" w:hAnsi="Calibri"/>
          <w:b/>
          <w:color w:val="A05A00"/>
          <w:sz w:val="18"/>
        </w:rPr>
        <w:t>⚠️ Partial</w:t>
      </w:r>
      <w:r>
        <w:rPr>
          <w:rFonts w:ascii="Calibri" w:hAnsi="Calibri"/>
          <w:sz w:val="18"/>
        </w:rPr>
        <w:t xml:space="preserve">  = Component data exists; ratio not pre-computed   </w:t>
      </w:r>
      <w:r>
        <w:rPr>
          <w:rFonts w:ascii="Calibri" w:hAnsi="Calibri"/>
          <w:b/>
          <w:color w:val="961414"/>
          <w:sz w:val="18"/>
        </w:rPr>
        <w:t>❌ Missing</w:t>
      </w:r>
      <w:r>
        <w:rPr>
          <w:rFonts w:ascii="Calibri" w:hAnsi="Calibri"/>
          <w:sz w:val="18"/>
        </w:rPr>
        <w:t xml:space="preserve">  = Not currently in the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024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88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DB Column(s)</w:t>
            </w:r>
          </w:p>
        </w:tc>
        <w:tc>
          <w:tcPr>
            <w:tcW w:type="dxa" w:w="244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Table(s)</w:t>
            </w:r>
          </w:p>
        </w:tc>
        <w:tc>
          <w:tcPr>
            <w:tcW w:type="dxa" w:w="316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Beta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beta_1y</w:t>
              <w:br/>
              <w:t>beta_3y</w:t>
              <w:br/>
              <w:t>beta_5y</w:t>
            </w:r>
          </w:p>
        </w:tc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Three timeframes vs ASX 200. alpha_1y / alpha_3y also present. &lt;1 = lower market risk, &gt;1 = higher.</w:t>
            </w:r>
          </w:p>
        </w:tc>
      </w:tr>
      <w:tr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Share Price Drawdown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pct_from_ath</w:t>
              <w:br/>
              <w:t>max_drawdown_1y</w:t>
              <w:br/>
              <w:t>max_drawdown_3y</w:t>
              <w:br/>
              <w:t>calmar_ratio</w:t>
            </w:r>
          </w:p>
        </w:tc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market.daily_metrics</w:t>
              <w:br/>
              <w:t>market.yearly_metrics</w:t>
              <w:br/>
              <w:t>screener.universe</w:t>
            </w:r>
          </w:p>
        </w:tc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Daily drawdown from ATH + max drawdown over 1Y and 3Y windows. calmar_ratio = return/max_drawdown. Volatility_1y/3y also present.</w:t>
            </w:r>
          </w:p>
        </w:tc>
      </w:tr>
      <w:tr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Debt Risk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debt_to_equity</w:t>
              <w:br/>
              <w:t>net_debt_to_ebitda</w:t>
              <w:br/>
              <w:t>interest_coverage</w:t>
              <w:br/>
              <w:t>debt_to_assets</w:t>
            </w:r>
          </w:p>
        </w:tc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Comprehensive debt suite. Also lt_debt_to_capital, net_debt_per_share.</w:t>
            </w:r>
          </w:p>
        </w:tc>
      </w:tr>
      <w:tr>
        <w:tc>
          <w:tcPr>
            <w:tcW w:type="dxa" w:w="3024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⚠️ Liquidity Risk (trading)</w:t>
            </w:r>
          </w:p>
        </w:tc>
        <w:tc>
          <w:tcPr>
            <w:tcW w:type="dxa" w:w="2880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volume_avg_20d</w:t>
              <w:br/>
              <w:t>volume_avg_52w</w:t>
              <w:br/>
              <w:t>relative_volume</w:t>
            </w:r>
          </w:p>
        </w:tc>
        <w:tc>
          <w:tcPr>
            <w:tcW w:type="dxa" w:w="2448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market.daily_metrics</w:t>
              <w:br/>
              <w:t>screener.universe</w:t>
            </w:r>
          </w:p>
        </w:tc>
        <w:tc>
          <w:tcPr>
            <w:tcW w:type="dxa" w:w="3168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Volume metrics let you filter illiquid stocks (e.g. avg_vol &lt; $500K/day). No single "liquidity_risk_score" but components all present.</w:t>
            </w:r>
          </w:p>
        </w:tc>
      </w:tr>
      <w:tr>
        <w:tc>
          <w:tcPr>
            <w:tcW w:type="dxa" w:w="3024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❌ Earnings Volatility</w:t>
              <w:br/>
              <w:t>(EPS stability)</w:t>
            </w:r>
          </w:p>
        </w:tc>
        <w:tc>
          <w:tcPr>
            <w:tcW w:type="dxa" w:w="288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NOT present</w:t>
            </w:r>
          </w:p>
        </w:tc>
        <w:tc>
          <w:tcPr>
            <w:tcW w:type="dxa" w:w="244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Nowhere in schema</w:t>
            </w:r>
          </w:p>
        </w:tc>
        <w:tc>
          <w:tcPr>
            <w:tcW w:type="dxa" w:w="316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DATA AVAILABLE. eps stored per year in market.yearly_metrics. Add eps_volatility_5y = STDDEV(eps,5y)/AVG(eps,5y) = coefficient of variation. Low = stable earnings. 1-day effort.</w:t>
            </w:r>
          </w:p>
        </w:tc>
      </w:tr>
      <w:tr>
        <w:tc>
          <w:tcPr>
            <w:tcW w:type="dxa" w:w="3024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❌ Dilution Risk</w:t>
              <w:br/>
              <w:t>(Share count change)</w:t>
            </w:r>
          </w:p>
        </w:tc>
        <w:tc>
          <w:tcPr>
            <w:tcW w:type="dxa" w:w="288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NOT present</w:t>
            </w:r>
          </w:p>
        </w:tc>
        <w:tc>
          <w:tcPr>
            <w:tcW w:type="dxa" w:w="244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Nowhere in schema</w:t>
            </w:r>
          </w:p>
        </w:tc>
        <w:tc>
          <w:tcPr>
            <w:tcW w:type="dxa" w:w="316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DATA AVAILABLE. shares_outstanding in financials.annual_balance_sheet per year. Add shares_dilution_3y = (shares_now − shares_3y_ago)/shares_3y_ago. Repeated positive = dilutive. 1-day effort.</w:t>
            </w:r>
          </w:p>
        </w:tc>
      </w:tr>
      <w:tr>
        <w:tc>
          <w:tcPr>
            <w:tcW w:type="dxa" w:w="3024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❌ Revenue Concentration</w:t>
              <w:br/>
              <w:t>(Customer/product risk)</w:t>
            </w:r>
          </w:p>
        </w:tc>
        <w:tc>
          <w:tcPr>
            <w:tcW w:type="dxa" w:w="288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NOT present</w:t>
            </w:r>
          </w:p>
        </w:tc>
        <w:tc>
          <w:tcPr>
            <w:tcW w:type="dxa" w:w="244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Requires new data</w:t>
            </w:r>
          </w:p>
        </w:tc>
        <w:tc>
          <w:tcPr>
            <w:tcW w:type="dxa" w:w="316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Requires segment-level revenue data from annual reports. Not available via EODHD. Would need manual tagging or premium data provider.</w:t>
            </w:r>
          </w:p>
        </w:tc>
      </w:tr>
      <w:tr>
        <w:tc>
          <w:tcPr>
            <w:tcW w:type="dxa" w:w="3024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❌ Commodity/Currency Exposure</w:t>
            </w:r>
          </w:p>
        </w:tc>
        <w:tc>
          <w:tcPr>
            <w:tcW w:type="dxa" w:w="288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NOT present</w:t>
            </w:r>
          </w:p>
        </w:tc>
        <w:tc>
          <w:tcPr>
            <w:tcW w:type="dxa" w:w="244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Requires external data</w:t>
            </w:r>
          </w:p>
        </w:tc>
        <w:tc>
          <w:tcPr>
            <w:tcW w:type="dxa" w:w="316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Partially inferred from GICS sector (Materials, Energy). For specifics: requires company disclosure parsing or manual classification tags.</w:t>
            </w:r>
          </w:p>
        </w:tc>
      </w:tr>
    </w:tbl>
    <w:p>
      <w:pPr>
        <w:spacing w:after="60"/>
      </w:pPr>
    </w:p>
    <w:p>
      <w:pPr>
        <w:pStyle w:val="Heading3"/>
        <w:spacing w:before="80" w:after="60"/>
      </w:pPr>
      <w:r>
        <w:rPr>
          <w:rFonts w:ascii="Calibri" w:hAnsi="Calibri"/>
          <w:color w:val="961414"/>
        </w:rPr>
        <w:t>Action Items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1.  Add eps_volatility_5y = STDDEV(eps,5y)/AVG(eps,5y)  →  market.yearly_metrics + screener.universe.   (data available)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2.  Add shares_dilution_3y = (shares_now − shares_3y_ago)/shares_3y_ago  →  market.yearly_metrics + screener.universe.   (data available)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3.  Revenue Concentration and Commodity/Currency Exposure require new data sources. Consider adding commodity_exposure and currency_exposure text tags to market.securities as admin-maintained fields.</w:t>
      </w:r>
    </w:p>
    <w:p>
      <w:pPr>
        <w:pStyle w:val="Heading1"/>
        <w:spacing w:before="160" w:after="60"/>
      </w:pPr>
      <w:r>
        <w:rPr>
          <w:rFonts w:ascii="Calibri" w:hAnsi="Calibri"/>
          <w:color w:val="0066A0"/>
        </w:rPr>
        <w:t>9.  Dividend Metrics  ⚠️ 5✅ 1❌  (83% coverage)</w:t>
      </w:r>
    </w:p>
    <w:p>
      <w:pPr>
        <w:spacing w:before="20" w:after="20"/>
      </w:pPr>
      <w:r>
        <w:rPr>
          <w:rFonts w:ascii="Courier New" w:hAnsi="Courier New"/>
          <w:color w:val="B4B4B4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rFonts w:ascii="Calibri" w:hAnsi="Calibri"/>
          <w:b/>
          <w:color w:val="006E37"/>
          <w:sz w:val="18"/>
        </w:rPr>
        <w:t>✅ Present</w:t>
      </w:r>
      <w:r>
        <w:rPr>
          <w:rFonts w:ascii="Calibri" w:hAnsi="Calibri"/>
          <w:sz w:val="18"/>
        </w:rPr>
        <w:t xml:space="preserve">  = Metric exists as a dedicated column   </w:t>
      </w:r>
      <w:r>
        <w:rPr>
          <w:rFonts w:ascii="Calibri" w:hAnsi="Calibri"/>
          <w:b/>
          <w:color w:val="A05A00"/>
          <w:sz w:val="18"/>
        </w:rPr>
        <w:t>⚠️ Partial</w:t>
      </w:r>
      <w:r>
        <w:rPr>
          <w:rFonts w:ascii="Calibri" w:hAnsi="Calibri"/>
          <w:sz w:val="18"/>
        </w:rPr>
        <w:t xml:space="preserve">  = Component data exists; ratio not pre-computed   </w:t>
      </w:r>
      <w:r>
        <w:rPr>
          <w:rFonts w:ascii="Calibri" w:hAnsi="Calibri"/>
          <w:b/>
          <w:color w:val="961414"/>
          <w:sz w:val="18"/>
        </w:rPr>
        <w:t>❌ Missing</w:t>
      </w:r>
      <w:r>
        <w:rPr>
          <w:rFonts w:ascii="Calibri" w:hAnsi="Calibri"/>
          <w:sz w:val="18"/>
        </w:rPr>
        <w:t xml:space="preserve">  = Not currently in the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16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88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DB Column(s)</w:t>
            </w:r>
          </w:p>
        </w:tc>
        <w:tc>
          <w:tcPr>
            <w:tcW w:type="dxa" w:w="244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Table(s)</w:t>
            </w:r>
          </w:p>
        </w:tc>
        <w:tc>
          <w:tcPr>
            <w:tcW w:type="dxa" w:w="3024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Dividend Yield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dividend_yield</w:t>
              <w:br/>
              <w:t>franked_yield (grossed-up)</w:t>
            </w:r>
          </w:p>
        </w:tc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Standard yield + grossed-up yield (including franking credit value). 3–6% sustainable.</w:t>
            </w:r>
          </w:p>
        </w:tc>
      </w:tr>
      <w:tr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Payout Ratio (Div/EPS)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payout_ratio</w:t>
            </w:r>
          </w:p>
        </w:tc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dividends / eps. 40–70% healthy. &gt;100% = paying more than earned.</w:t>
            </w:r>
          </w:p>
        </w:tc>
      </w:tr>
      <w:tr>
        <w:tc>
          <w:tcPr>
            <w:tcW w:type="dxa" w:w="316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❌ FCF Payout Ratio (Div/FCF)</w:t>
            </w:r>
          </w:p>
        </w:tc>
        <w:tc>
          <w:tcPr>
            <w:tcW w:type="dxa" w:w="288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NOT present</w:t>
            </w:r>
          </w:p>
        </w:tc>
        <w:tc>
          <w:tcPr>
            <w:tcW w:type="dxa" w:w="244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Nowhere in schema</w:t>
            </w:r>
          </w:p>
        </w:tc>
        <w:tc>
          <w:tcPr>
            <w:tcW w:type="dxa" w:w="3024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DATA AVAILABLE. dividends_paid (financials.annual_cashflow) and fcf both exist. Add fcf_payout_ratio = dividends_paid / fcf. Preferred over earnings payout as FCF is harder to manipulate. 1-day effort.</w:t>
            </w:r>
          </w:p>
        </w:tc>
      </w:tr>
      <w:tr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Dividend Growth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dividend_cagr_3y</w:t>
              <w:br/>
              <w:t>dividend_cagr_5y</w:t>
            </w:r>
          </w:p>
        </w:tc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DPS CAGR over 3 and 5 years.</w:t>
            </w:r>
          </w:p>
        </w:tc>
      </w:tr>
      <w:tr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Dividend History (Consecutive years)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dividend_consecutive_yrs</w:t>
            </w:r>
          </w:p>
        </w:tc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Count of consecutive years with dividend payment. 5+ years = reliable.</w:t>
            </w:r>
          </w:p>
        </w:tc>
      </w:tr>
      <w:tr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Franking Credits (Australian-specific)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franking_pct</w:t>
              <w:br/>
              <w:t>franked_yield</w:t>
              <w:br/>
              <w:t>dps_grossed_up</w:t>
              <w:br/>
              <w:t>franking_credit_per_share</w:t>
            </w:r>
          </w:p>
        </w:tc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Full franking suite. Formula: credit = dps × (franking%/100) × (0.30/0.70). Grossed-up yield critical for Australian investors comparing pre-tax returns.</w:t>
            </w:r>
          </w:p>
        </w:tc>
      </w:tr>
    </w:tbl>
    <w:p>
      <w:pPr>
        <w:spacing w:after="60"/>
      </w:pPr>
    </w:p>
    <w:p>
      <w:pPr>
        <w:pStyle w:val="Heading3"/>
        <w:spacing w:before="80" w:after="60"/>
      </w:pPr>
      <w:r>
        <w:rPr>
          <w:rFonts w:ascii="Calibri" w:hAnsi="Calibri"/>
          <w:color w:val="A05A00"/>
        </w:rPr>
        <w:t>Action Item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Add fcf_payout_ratio = dividends_paid / fcf  →  market.yearly_metrics + screener.universe.   (data available, 1-day effort)</w:t>
      </w:r>
    </w:p>
    <w:p>
      <w:r>
        <w:br w:type="page"/>
      </w:r>
    </w:p>
    <w:p>
      <w:pPr>
        <w:pStyle w:val="Heading1"/>
        <w:spacing w:before="160" w:after="60"/>
      </w:pPr>
      <w:r>
        <w:rPr>
          <w:rFonts w:ascii="Calibri" w:hAnsi="Calibri"/>
          <w:color w:val="0066A0"/>
        </w:rPr>
        <w:t>10.  Momentum Metrics  ⚠️ 6✅ 1❌  (86% coverage)</w:t>
      </w:r>
    </w:p>
    <w:p>
      <w:pPr>
        <w:spacing w:before="20" w:after="20"/>
      </w:pPr>
      <w:r>
        <w:rPr>
          <w:rFonts w:ascii="Courier New" w:hAnsi="Courier New"/>
          <w:color w:val="B4B4B4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rFonts w:ascii="Calibri" w:hAnsi="Calibri"/>
          <w:b/>
          <w:color w:val="006E37"/>
          <w:sz w:val="18"/>
        </w:rPr>
        <w:t>✅ Present</w:t>
      </w:r>
      <w:r>
        <w:rPr>
          <w:rFonts w:ascii="Calibri" w:hAnsi="Calibri"/>
          <w:sz w:val="18"/>
        </w:rPr>
        <w:t xml:space="preserve">  = Metric exists as a dedicated column   </w:t>
      </w:r>
      <w:r>
        <w:rPr>
          <w:rFonts w:ascii="Calibri" w:hAnsi="Calibri"/>
          <w:b/>
          <w:color w:val="A05A00"/>
          <w:sz w:val="18"/>
        </w:rPr>
        <w:t>⚠️ Partial</w:t>
      </w:r>
      <w:r>
        <w:rPr>
          <w:rFonts w:ascii="Calibri" w:hAnsi="Calibri"/>
          <w:sz w:val="18"/>
        </w:rPr>
        <w:t xml:space="preserve">  = Component data exists; ratio not pre-computed   </w:t>
      </w:r>
      <w:r>
        <w:rPr>
          <w:rFonts w:ascii="Calibri" w:hAnsi="Calibri"/>
          <w:b/>
          <w:color w:val="961414"/>
          <w:sz w:val="18"/>
        </w:rPr>
        <w:t>❌ Missing</w:t>
      </w:r>
      <w:r>
        <w:rPr>
          <w:rFonts w:ascii="Calibri" w:hAnsi="Calibri"/>
          <w:sz w:val="18"/>
        </w:rPr>
        <w:t xml:space="preserve">  = Not currently in the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16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88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DB Column(s)</w:t>
            </w:r>
          </w:p>
        </w:tc>
        <w:tc>
          <w:tcPr>
            <w:tcW w:type="dxa" w:w="244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Table(s)</w:t>
            </w:r>
          </w:p>
        </w:tc>
        <w:tc>
          <w:tcPr>
            <w:tcW w:type="dxa" w:w="3024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3-Month Price Return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return_3m</w:t>
            </w:r>
          </w:p>
        </w:tc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market.daily_metrics</w:t>
              <w:br/>
              <w:t>screener.universe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Trading-day exact: 63 sessions.</w:t>
            </w:r>
          </w:p>
        </w:tc>
      </w:tr>
      <w:tr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6-Month Price Return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return_6m</w:t>
            </w:r>
          </w:p>
        </w:tc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market.daily_metrics</w:t>
              <w:br/>
              <w:t>screener.universe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Trading-day exact: 126 sessions.</w:t>
            </w:r>
          </w:p>
        </w:tc>
      </w:tr>
      <w:tr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12-Month Price Return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return_1y</w:t>
            </w:r>
          </w:p>
        </w:tc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market.daily_metrics</w:t>
              <w:br/>
              <w:t>screener.universe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Trading-day exact: 252 sessions. Also return_3y/5y/7y/10y/15y available.</w:t>
            </w:r>
          </w:p>
        </w:tc>
      </w:tr>
      <w:tr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Relative Strength Rank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relative_strength_xjo</w:t>
              <w:br/>
              <w:t>momentum_score</w:t>
            </w:r>
          </w:p>
        </w:tc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market.monthly_metrics</w:t>
              <w:br/>
              <w:t>screener.universe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relative_strength_xjo = return_12m minus ASX 200 return. momentum_score = percentile rank 0–100 within all ASX stocks.</w:t>
            </w:r>
          </w:p>
        </w:tc>
      </w:tr>
      <w:tr>
        <w:tc>
          <w:tcPr>
            <w:tcW w:type="dxa" w:w="316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❌ Earnings Revision Trend</w:t>
              <w:br/>
              <w:t>(Analyst upgrades/downgrades)</w:t>
            </w:r>
          </w:p>
        </w:tc>
        <w:tc>
          <w:tcPr>
            <w:tcW w:type="dxa" w:w="288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NOT present</w:t>
            </w:r>
          </w:p>
        </w:tc>
        <w:tc>
          <w:tcPr>
            <w:tcW w:type="dxa" w:w="244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Requires new data source</w:t>
            </w:r>
          </w:p>
        </w:tc>
        <w:tc>
          <w:tcPr>
            <w:tcW w:type="dxa" w:w="3024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Requires analyst consensus data (Bloomberg, Refinitiv, FactSet). EODHD has /analyst-ratings/{ticker} endpoint (buy/sell/hold counts + consensus EPS). Integrating this would also fully populate pe_ratio_forward. Recommended.</w:t>
            </w:r>
          </w:p>
        </w:tc>
      </w:tr>
      <w:tr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Volume Breakout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relative_volume</w:t>
              <w:br/>
              <w:t>has_volume_spike (anomaly)</w:t>
            </w:r>
          </w:p>
        </w:tc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market.daily_metrics</w:t>
              <w:br/>
              <w:t>screener.universe</w:t>
              <w:br/>
              <w:t>market.anomalies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relative_volume&gt;2 = elevated. volume_spike flag at 3× average. has_volume_spike in screener.universe.</w:t>
            </w:r>
          </w:p>
        </w:tc>
      </w:tr>
      <w:tr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52-Week High Proximity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pct_from_52w_high</w:t>
              <w:br/>
              <w:t>new_52w_high</w:t>
              <w:br/>
              <w:t>high_52w</w:t>
            </w:r>
          </w:p>
        </w:tc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market.daily_metrics</w:t>
              <w:br/>
              <w:t>screener.universe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% below 52w high + new high flag + absolute level. Within 10–15% of 52w high = strong trend signal.</w:t>
            </w:r>
          </w:p>
        </w:tc>
      </w:tr>
    </w:tbl>
    <w:p>
      <w:pPr>
        <w:spacing w:after="60"/>
      </w:pPr>
    </w:p>
    <w:p>
      <w:pPr>
        <w:pStyle w:val="Heading3"/>
        <w:spacing w:before="80" w:after="60"/>
      </w:pPr>
      <w:r>
        <w:rPr>
          <w:rFonts w:ascii="Calibri" w:hAnsi="Calibri"/>
          <w:color w:val="961414"/>
        </w:rPr>
        <w:t>Action Item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Earnings Revision Trend: Integrate EODHD /analyst-ratings/{ticker} endpoint. Returns buy/sell/hold counts and consensus EPS estimates. Would enable eps_revision_trend column and fully populate pe_ratio_forward. Recommended as the highest-value data source addition.</w:t>
      </w:r>
    </w:p>
    <w:p>
      <w:pPr>
        <w:pStyle w:val="Heading1"/>
        <w:spacing w:before="160" w:after="60"/>
      </w:pPr>
      <w:r>
        <w:rPr>
          <w:rFonts w:ascii="Calibri" w:hAnsi="Calibri"/>
          <w:color w:val="961414"/>
        </w:rPr>
        <w:t>11.  Quality &amp; Moat Indicators  ⚠️ 3✅ 2⚠️ 6❌  (36% coverage)</w:t>
      </w:r>
    </w:p>
    <w:p>
      <w:pPr>
        <w:spacing w:before="20" w:after="20"/>
      </w:pPr>
      <w:r>
        <w:rPr>
          <w:rFonts w:ascii="Courier New" w:hAnsi="Courier New"/>
          <w:color w:val="B4B4B4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rFonts w:ascii="Calibri" w:hAnsi="Calibri"/>
          <w:b/>
          <w:color w:val="006E37"/>
          <w:sz w:val="18"/>
        </w:rPr>
        <w:t>✅ Present</w:t>
      </w:r>
      <w:r>
        <w:rPr>
          <w:rFonts w:ascii="Calibri" w:hAnsi="Calibri"/>
          <w:sz w:val="18"/>
        </w:rPr>
        <w:t xml:space="preserve">  = Metric exists as a dedicated column   </w:t>
      </w:r>
      <w:r>
        <w:rPr>
          <w:rFonts w:ascii="Calibri" w:hAnsi="Calibri"/>
          <w:b/>
          <w:color w:val="A05A00"/>
          <w:sz w:val="18"/>
        </w:rPr>
        <w:t>⚠️ Partial</w:t>
      </w:r>
      <w:r>
        <w:rPr>
          <w:rFonts w:ascii="Calibri" w:hAnsi="Calibri"/>
          <w:sz w:val="18"/>
        </w:rPr>
        <w:t xml:space="preserve">  = Component data exists; ratio not pre-computed   </w:t>
      </w:r>
      <w:r>
        <w:rPr>
          <w:rFonts w:ascii="Calibri" w:hAnsi="Calibri"/>
          <w:b/>
          <w:color w:val="961414"/>
          <w:sz w:val="18"/>
        </w:rPr>
        <w:t>❌ Missing</w:t>
      </w:r>
      <w:r>
        <w:rPr>
          <w:rFonts w:ascii="Calibri" w:hAnsi="Calibri"/>
          <w:sz w:val="18"/>
        </w:rPr>
        <w:t xml:space="preserve">  = Not currently in the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88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Indicator</w:t>
            </w:r>
          </w:p>
        </w:tc>
        <w:tc>
          <w:tcPr>
            <w:tcW w:type="dxa" w:w="316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DB Column / Proxy</w:t>
            </w:r>
          </w:p>
        </w:tc>
        <w:tc>
          <w:tcPr>
            <w:tcW w:type="dxa" w:w="244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Table(s)</w:t>
            </w:r>
          </w:p>
        </w:tc>
        <w:tc>
          <w:tcPr>
            <w:tcW w:type="dxa" w:w="3024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ROIC Consistency</w:t>
            </w:r>
          </w:p>
        </w:tc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roic</w:t>
              <w:br/>
              <w:t>avg_roic_3y</w:t>
              <w:br/>
              <w:t>avg_roic_5y</w:t>
            </w:r>
          </w:p>
        </w:tc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ROIC + 3Y and 5Y averages. Sustained ROIC &gt;12–15% = durable competitive advantage.</w:t>
            </w:r>
          </w:p>
        </w:tc>
      </w:tr>
      <w:tr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Gross Margin Stability</w:t>
            </w:r>
          </w:p>
        </w:tc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gross_margin</w:t>
              <w:br/>
              <w:t>avg_gross_margin_3y</w:t>
              <w:br/>
              <w:t>avg_gross_margin_5y</w:t>
            </w:r>
          </w:p>
        </w:tc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Gross margin + 3Y and 5Y averages. Stable or improving = pricing power / moat.</w:t>
            </w:r>
          </w:p>
        </w:tc>
      </w:tr>
      <w:tr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✅ Piotroski F-Score</w:t>
              <w:br/>
              <w:t>(Composite quality proxy)</w:t>
            </w:r>
          </w:p>
        </w:tc>
        <w:tc>
          <w:tcPr>
            <w:tcW w:type="dxa" w:w="316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piotroski_f_score</w:t>
            </w:r>
          </w:p>
        </w:tc>
        <w:tc>
          <w:tcPr>
            <w:tcW w:type="dxa" w:w="244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302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9-point score: 3×profitability + 3×leverage + 3×efficiency signals. Score 8–9 = high financial quality. Altman Z + Beneish M also available.</w:t>
            </w:r>
          </w:p>
        </w:tc>
      </w:tr>
      <w:tr>
        <w:tc>
          <w:tcPr>
            <w:tcW w:type="dxa" w:w="2880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⚠️ Asset-Light Model</w:t>
            </w:r>
          </w:p>
        </w:tc>
        <w:tc>
          <w:tcPr>
            <w:tcW w:type="dxa" w:w="3168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capex_intensity</w:t>
              <w:br/>
              <w:t>fcf_margin</w:t>
              <w:br/>
              <w:t>asset_turnover</w:t>
            </w:r>
          </w:p>
        </w:tc>
        <w:tc>
          <w:tcPr>
            <w:tcW w:type="dxa" w:w="2448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3024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No single "asset_light" flag. Proxy: low capex_intensity + high fcf_margin + high asset_turnover = asset-light characteristics. Can add a composite.</w:t>
            </w:r>
          </w:p>
        </w:tc>
      </w:tr>
      <w:tr>
        <w:tc>
          <w:tcPr>
            <w:tcW w:type="dxa" w:w="2880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⚠️ Management Quality</w:t>
              <w:br/>
              <w:t>(Capital Allocation)</w:t>
            </w:r>
          </w:p>
        </w:tc>
        <w:tc>
          <w:tcPr>
            <w:tcW w:type="dxa" w:w="3168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avg_roic_5y / avg_roe_5y</w:t>
              <w:br/>
              <w:t>price_cagr_5y / price_cagr_10y</w:t>
            </w:r>
          </w:p>
        </w:tc>
        <w:tc>
          <w:tcPr>
            <w:tcW w:type="dxa" w:w="2448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3024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Proxied by long-run ROIC/ROE consistency and long-run price CAGR. Insider holding % was in v009 schema but removed in v011. Recommend re-adding from EODHD /insider-transactions.</w:t>
            </w:r>
          </w:p>
        </w:tc>
      </w:tr>
      <w:tr>
        <w:tc>
          <w:tcPr>
            <w:tcW w:type="dxa" w:w="288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❌ Recurring Revenue</w:t>
            </w:r>
          </w:p>
        </w:tc>
        <w:tc>
          <w:tcPr>
            <w:tcW w:type="dxa" w:w="316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NOT present</w:t>
            </w:r>
          </w:p>
        </w:tc>
        <w:tc>
          <w:tcPr>
            <w:tcW w:type="dxa" w:w="244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Manual classification needed</w:t>
            </w:r>
          </w:p>
        </w:tc>
        <w:tc>
          <w:tcPr>
            <w:tcW w:type="dxa" w:w="3024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No revenue type classification. Requires business model tagging (SaaS/subscription/transactional/project). Cannot be derived from financials alone.</w:t>
            </w:r>
          </w:p>
        </w:tc>
      </w:tr>
      <w:tr>
        <w:tc>
          <w:tcPr>
            <w:tcW w:type="dxa" w:w="288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❌ Low Churn</w:t>
            </w:r>
          </w:p>
        </w:tc>
        <w:tc>
          <w:tcPr>
            <w:tcW w:type="dxa" w:w="316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NOT present</w:t>
            </w:r>
          </w:p>
        </w:tc>
        <w:tc>
          <w:tcPr>
            <w:tcW w:type="dxa" w:w="244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Company-specific data</w:t>
            </w:r>
          </w:p>
        </w:tc>
        <w:tc>
          <w:tcPr>
            <w:tcW w:type="dxa" w:w="3024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Customer retention not in any public financial filing. Would need scraping of company presentations or industry databases.</w:t>
            </w:r>
          </w:p>
        </w:tc>
      </w:tr>
      <w:tr>
        <w:tc>
          <w:tcPr>
            <w:tcW w:type="dxa" w:w="288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❌ Market Share</w:t>
            </w:r>
          </w:p>
        </w:tc>
        <w:tc>
          <w:tcPr>
            <w:tcW w:type="dxa" w:w="316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NOT present</w:t>
            </w:r>
          </w:p>
        </w:tc>
        <w:tc>
          <w:tcPr>
            <w:tcW w:type="dxa" w:w="244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Requires industry data</w:t>
            </w:r>
          </w:p>
        </w:tc>
        <w:tc>
          <w:tcPr>
            <w:tcW w:type="dxa" w:w="3024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Cannot be derived from financial statements alone. Would need external industry revenue data by sector (IBISWorld, Statista, etc.).</w:t>
            </w:r>
          </w:p>
        </w:tc>
      </w:tr>
      <w:tr>
        <w:tc>
          <w:tcPr>
            <w:tcW w:type="dxa" w:w="288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❌ Brand Strength</w:t>
            </w:r>
          </w:p>
        </w:tc>
        <w:tc>
          <w:tcPr>
            <w:tcW w:type="dxa" w:w="316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NOT present — qualitative</w:t>
            </w:r>
          </w:p>
        </w:tc>
        <w:tc>
          <w:tcPr>
            <w:tcW w:type="dxa" w:w="244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N/A</w:t>
            </w:r>
          </w:p>
        </w:tc>
        <w:tc>
          <w:tcPr>
            <w:tcW w:type="dxa" w:w="3024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Cannot be quantified from financial data. Partial proxy: sustained high gross margin and premium ps_ratio over 5+ years.</w:t>
            </w:r>
          </w:p>
        </w:tc>
      </w:tr>
      <w:tr>
        <w:tc>
          <w:tcPr>
            <w:tcW w:type="dxa" w:w="288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❌ Network Effects</w:t>
            </w:r>
          </w:p>
        </w:tc>
        <w:tc>
          <w:tcPr>
            <w:tcW w:type="dxa" w:w="316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NOT present — qualitative</w:t>
            </w:r>
          </w:p>
        </w:tc>
        <w:tc>
          <w:tcPr>
            <w:tcW w:type="dxa" w:w="244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N/A</w:t>
            </w:r>
          </w:p>
        </w:tc>
        <w:tc>
          <w:tcPr>
            <w:tcW w:type="dxa" w:w="3024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Cannot be quantified. Partial proxy: high revenue growth with low capex_intensity (digital scaling without proportional cost).</w:t>
            </w:r>
          </w:p>
        </w:tc>
      </w:tr>
      <w:tr>
        <w:tc>
          <w:tcPr>
            <w:tcW w:type="dxa" w:w="288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❌ Switching Costs</w:t>
            </w:r>
          </w:p>
        </w:tc>
        <w:tc>
          <w:tcPr>
            <w:tcW w:type="dxa" w:w="316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NOT present — qualitative</w:t>
            </w:r>
          </w:p>
        </w:tc>
        <w:tc>
          <w:tcPr>
            <w:tcW w:type="dxa" w:w="244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N/A</w:t>
            </w:r>
          </w:p>
        </w:tc>
        <w:tc>
          <w:tcPr>
            <w:tcW w:type="dxa" w:w="3024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Cannot be quantified. Partial proxy: stable customer base = stable/growing revenue with low revenue volatility (eps_volatility_5y once added).</w:t>
            </w:r>
          </w:p>
        </w:tc>
      </w:tr>
    </w:tbl>
    <w:p>
      <w:pPr>
        <w:spacing w:after="60"/>
      </w:pPr>
    </w:p>
    <w:p>
      <w:pPr>
        <w:pStyle w:val="Heading3"/>
        <w:spacing w:before="80" w:after="60"/>
      </w:pPr>
      <w:r>
        <w:rPr>
          <w:rFonts w:ascii="Calibri" w:hAnsi="Calibri"/>
          <w:color w:val="961414"/>
        </w:rPr>
        <w:t>Action Items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1.  Re-add insider_holding_pct and insider_holding_change_1y to screener.universe (was in v009, removed in v011). Source: EODHD /insider-transactions endpoint.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2.  Consider adding business_model_tag text column to market.securities for manual classification (SaaS, Subscription, Mining, REIT, etc.) to partially enable "recurring revenue" and "asset-light" filtering.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3.  Qualitative moat indicators (brand, network effects, switching costs) cannot be automated from financial data. Consider a moat_rating or analyst_notes field in market.securities for admin-maintained qualitative signals.</w:t>
      </w:r>
    </w:p>
    <w:p>
      <w:r>
        <w:br w:type="page"/>
      </w:r>
    </w:p>
    <w:p>
      <w:pPr>
        <w:pStyle w:val="Heading1"/>
        <w:spacing w:before="160" w:after="60"/>
      </w:pPr>
      <w:r>
        <w:rPr>
          <w:rFonts w:ascii="Calibri" w:hAnsi="Calibri"/>
          <w:color w:val="003E6B"/>
        </w:rPr>
        <w:t>12.  Complete Gap Summary &amp; Recommended Action Plan</w:t>
      </w:r>
    </w:p>
    <w:p>
      <w:pPr>
        <w:spacing w:before="20" w:after="20"/>
      </w:pPr>
      <w:r>
        <w:rPr>
          <w:rFonts w:ascii="Courier New" w:hAnsi="Courier New"/>
          <w:color w:val="B4B4B4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60"/>
      </w:pPr>
      <w:r>
        <w:rPr>
          <w:rFonts w:ascii="Calibri" w:hAnsi="Calibri"/>
          <w:color w:val="006E37"/>
        </w:rPr>
        <w:t>12.1  Missing Metrics — Computable Today (All Data Already Available)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These 7 items require only adding new computed columns to existing tables. No new data source needed.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15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59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Metric to Add</w:t>
            </w:r>
          </w:p>
        </w:tc>
        <w:tc>
          <w:tcPr>
            <w:tcW w:type="dxa" w:w="360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259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Target Table(s)</w:t>
            </w:r>
          </w:p>
        </w:tc>
        <w:tc>
          <w:tcPr>
            <w:tcW w:type="dxa" w:w="1296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Effort</w:t>
            </w:r>
          </w:p>
        </w:tc>
      </w:tr>
      <w:tr>
        <w:tc>
          <w:tcPr>
            <w:tcW w:type="dxa" w:w="115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OCF / Net Profit</w:t>
            </w:r>
          </w:p>
        </w:tc>
        <w:tc>
          <w:tcPr>
            <w:tcW w:type="dxa" w:w="360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cfo / net_profit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½ day</w:t>
            </w:r>
          </w:p>
        </w:tc>
      </w:tr>
      <w:tr>
        <w:tc>
          <w:tcPr>
            <w:tcW w:type="dxa" w:w="115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FCF Payout Ratio</w:t>
            </w:r>
          </w:p>
        </w:tc>
        <w:tc>
          <w:tcPr>
            <w:tcW w:type="dxa" w:w="360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dividends_paid / fcf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½ day</w:t>
            </w:r>
          </w:p>
        </w:tc>
      </w:tr>
      <w:tr>
        <w:tc>
          <w:tcPr>
            <w:tcW w:type="dxa" w:w="115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Dilution Risk (3Y)</w:t>
            </w:r>
          </w:p>
        </w:tc>
        <w:tc>
          <w:tcPr>
            <w:tcW w:type="dxa" w:w="360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(shares_now − shares_3y_ago) / shares_3y_ago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½ day</w:t>
            </w:r>
          </w:p>
        </w:tc>
      </w:tr>
      <w:tr>
        <w:tc>
          <w:tcPr>
            <w:tcW w:type="dxa" w:w="115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Earnings Volatility</w:t>
            </w:r>
          </w:p>
        </w:tc>
        <w:tc>
          <w:tcPr>
            <w:tcW w:type="dxa" w:w="360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STDDEV(eps,5y) / AVG(eps,5y)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½ day</w:t>
            </w:r>
          </w:p>
        </w:tc>
      </w:tr>
      <w:tr>
        <w:tc>
          <w:tcPr>
            <w:tcW w:type="dxa" w:w="115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FCF Positive Years</w:t>
            </w:r>
          </w:p>
        </w:tc>
        <w:tc>
          <w:tcPr>
            <w:tcW w:type="dxa" w:w="360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COUNT(consecutive years with fcf &gt; 0)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market.yearly_metrics</w:t>
              <w:br/>
              <w:t>screener.universe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1 day</w:t>
            </w:r>
          </w:p>
        </w:tc>
      </w:tr>
      <w:tr>
        <w:tc>
          <w:tcPr>
            <w:tcW w:type="dxa" w:w="115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Price Above VWAP (flag)</w:t>
            </w:r>
          </w:p>
        </w:tc>
        <w:tc>
          <w:tcPr>
            <w:tcW w:type="dxa" w:w="360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CASE WHEN close &gt; vwap THEN 1 ELSE 0 END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market.daily_metrics</w:t>
              <w:br/>
              <w:t>screener.universe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½ day</w:t>
            </w:r>
          </w:p>
        </w:tc>
      </w:tr>
      <w:tr>
        <w:tc>
          <w:tcPr>
            <w:tcW w:type="dxa" w:w="115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Insider Holding %</w:t>
            </w:r>
          </w:p>
        </w:tc>
        <w:tc>
          <w:tcPr>
            <w:tcW w:type="dxa" w:w="360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Re-add from EODHD /insider-transactions</w:t>
            </w:r>
          </w:p>
        </w:tc>
        <w:tc>
          <w:tcPr>
            <w:tcW w:type="dxa" w:w="259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screener.universe</w:t>
            </w:r>
          </w:p>
        </w:tc>
        <w:tc>
          <w:tcPr>
            <w:tcW w:type="dxa" w:w="1296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2 days</w:t>
            </w:r>
          </w:p>
        </w:tc>
      </w:tr>
    </w:tbl>
    <w:p>
      <w:pPr>
        <w:spacing w:after="60"/>
      </w:pPr>
    </w:p>
    <w:p>
      <w:pPr>
        <w:pStyle w:val="Heading2"/>
        <w:spacing w:before="160" w:after="60"/>
      </w:pPr>
      <w:r>
        <w:rPr>
          <w:rFonts w:ascii="Calibri" w:hAnsi="Calibri"/>
          <w:color w:val="961414"/>
        </w:rPr>
        <w:t>12.2  Missing Metrics — Require a New Data Source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These 2 items require integrating a new API feed.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15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88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16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Recommended Data Source</w:t>
            </w:r>
          </w:p>
        </w:tc>
        <w:tc>
          <w:tcPr>
            <w:tcW w:type="dxa" w:w="2736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What It Enables</w:t>
            </w:r>
          </w:p>
        </w:tc>
        <w:tc>
          <w:tcPr>
            <w:tcW w:type="dxa" w:w="1296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Effort</w:t>
            </w:r>
          </w:p>
        </w:tc>
      </w:tr>
      <w:tr>
        <w:tc>
          <w:tcPr>
            <w:tcW w:type="dxa" w:w="1152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288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Earnings Revision Trend</w:t>
              <w:br/>
              <w:t>(Analyst upgrades/downgrades)</w:t>
            </w:r>
          </w:p>
        </w:tc>
        <w:tc>
          <w:tcPr>
            <w:tcW w:type="dxa" w:w="316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EODHD /analyst-ratings/{ticker}</w:t>
              <w:br/>
              <w:t>(buy/hold/sell + consensus EPS)</w:t>
            </w:r>
          </w:p>
        </w:tc>
        <w:tc>
          <w:tcPr>
            <w:tcW w:type="dxa" w:w="2736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eps_revision_trend, consensus_eps,</w:t>
              <w:br/>
              <w:t>fully populates pe_ratio_forward</w:t>
            </w:r>
          </w:p>
        </w:tc>
        <w:tc>
          <w:tcPr>
            <w:tcW w:type="dxa" w:w="1296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3–5 days</w:t>
            </w:r>
          </w:p>
        </w:tc>
      </w:tr>
      <w:tr>
        <w:tc>
          <w:tcPr>
            <w:tcW w:type="dxa" w:w="1152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288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Revenue Concentration</w:t>
              <w:br/>
              <w:t>Commodity / Currency Exposure</w:t>
            </w:r>
          </w:p>
        </w:tc>
        <w:tc>
          <w:tcPr>
            <w:tcW w:type="dxa" w:w="316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Manual admin tags on market.securities</w:t>
              <w:br/>
              <w:t>(commodity_exposure, currency_exposure)</w:t>
            </w:r>
          </w:p>
        </w:tc>
        <w:tc>
          <w:tcPr>
            <w:tcW w:type="dxa" w:w="2736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Qualitative risk filters in screener</w:t>
            </w:r>
          </w:p>
        </w:tc>
        <w:tc>
          <w:tcPr>
            <w:tcW w:type="dxa" w:w="1296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1 day (data entry)</w:t>
            </w:r>
          </w:p>
        </w:tc>
      </w:tr>
    </w:tbl>
    <w:p>
      <w:pPr>
        <w:spacing w:after="60"/>
      </w:pPr>
    </w:p>
    <w:p>
      <w:pPr>
        <w:pStyle w:val="Heading2"/>
        <w:spacing w:before="160" w:after="60"/>
      </w:pPr>
      <w:r>
        <w:rPr>
          <w:rFonts w:ascii="Calibri" w:hAnsi="Calibri"/>
          <w:color w:val="505050"/>
        </w:rPr>
        <w:t>12.3  Metrics That Are Inherently Qualitative (Not Automatable)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These 5 indicators require human judgment. Best approach: admin-maintained tags on market.securities.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9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Indicator</w:t>
            </w:r>
          </w:p>
        </w:tc>
        <w:tc>
          <w:tcPr>
            <w:tcW w:type="dxa" w:w="432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Best Available Quantitative Proxy</w:t>
            </w:r>
          </w:p>
        </w:tc>
        <w:tc>
          <w:tcPr>
            <w:tcW w:type="dxa" w:w="432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Recommended Approach</w:t>
            </w:r>
          </w:p>
        </w:tc>
      </w:tr>
      <w:tr>
        <w:tc>
          <w:tcPr>
            <w:tcW w:type="dxa" w:w="2592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Brand Strength</w:t>
            </w:r>
          </w:p>
        </w:tc>
        <w:tc>
          <w:tcPr>
            <w:tcW w:type="dxa" w:w="432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Sustained gross margin &gt;40% + premium ps_ratio over 5Y</w:t>
            </w:r>
          </w:p>
        </w:tc>
        <w:tc>
          <w:tcPr>
            <w:tcW w:type="dxa" w:w="432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moat_rating admin field on market.securities</w:t>
            </w:r>
          </w:p>
        </w:tc>
      </w:tr>
      <w:tr>
        <w:tc>
          <w:tcPr>
            <w:tcW w:type="dxa" w:w="2592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Network Effects</w:t>
            </w:r>
          </w:p>
        </w:tc>
        <w:tc>
          <w:tcPr>
            <w:tcW w:type="dxa" w:w="432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High revenue growth with low capex_intensity over 5Y</w:t>
            </w:r>
          </w:p>
        </w:tc>
        <w:tc>
          <w:tcPr>
            <w:tcW w:type="dxa" w:w="432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business_model_tag field</w:t>
            </w:r>
          </w:p>
        </w:tc>
      </w:tr>
      <w:tr>
        <w:tc>
          <w:tcPr>
            <w:tcW w:type="dxa" w:w="2592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Switching Costs</w:t>
            </w:r>
          </w:p>
        </w:tc>
        <w:tc>
          <w:tcPr>
            <w:tcW w:type="dxa" w:w="432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Low revenue volatility (stable recurring earnings)</w:t>
            </w:r>
          </w:p>
        </w:tc>
        <w:tc>
          <w:tcPr>
            <w:tcW w:type="dxa" w:w="432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business_model_tag field</w:t>
            </w:r>
          </w:p>
        </w:tc>
      </w:tr>
      <w:tr>
        <w:tc>
          <w:tcPr>
            <w:tcW w:type="dxa" w:w="2592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Low Churn</w:t>
            </w:r>
          </w:p>
        </w:tc>
        <w:tc>
          <w:tcPr>
            <w:tcW w:type="dxa" w:w="432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Stable/growing revenue without M&amp;A = organic retention signal</w:t>
            </w:r>
          </w:p>
        </w:tc>
        <w:tc>
          <w:tcPr>
            <w:tcW w:type="dxa" w:w="432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Not automatable from public data</w:t>
            </w:r>
          </w:p>
        </w:tc>
      </w:tr>
      <w:tr>
        <w:tc>
          <w:tcPr>
            <w:tcW w:type="dxa" w:w="2592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Market Share</w:t>
            </w:r>
          </w:p>
        </w:tc>
        <w:tc>
          <w:tcPr>
            <w:tcW w:type="dxa" w:w="432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Revenue CAGR vs sector revenue growth (requires sector data)</w:t>
            </w:r>
          </w:p>
        </w:tc>
        <w:tc>
          <w:tcPr>
            <w:tcW w:type="dxa" w:w="432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Requires premium industry data source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160" w:after="60"/>
      </w:pPr>
      <w:r>
        <w:rPr>
          <w:rFonts w:ascii="Calibri" w:hAnsi="Calibri"/>
          <w:color w:val="003E6B"/>
        </w:rPr>
        <w:t>13.  Final Coverage Scorecard</w:t>
      </w:r>
    </w:p>
    <w:p>
      <w:pPr>
        <w:spacing w:before="20" w:after="20"/>
      </w:pPr>
      <w:r>
        <w:rPr>
          <w:rFonts w:ascii="Courier New" w:hAnsi="Courier New"/>
          <w:color w:val="B4B4B4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288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100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15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✅ Present</w:t>
            </w:r>
          </w:p>
        </w:tc>
        <w:tc>
          <w:tcPr>
            <w:tcW w:type="dxa" w:w="115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⚠️ Partial</w:t>
            </w:r>
          </w:p>
        </w:tc>
        <w:tc>
          <w:tcPr>
            <w:tcW w:type="dxa" w:w="144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❌ Computable</w:t>
            </w:r>
          </w:p>
        </w:tc>
        <w:tc>
          <w:tcPr>
            <w:tcW w:type="dxa" w:w="1584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❌ Needs Source</w:t>
            </w:r>
          </w:p>
        </w:tc>
        <w:tc>
          <w:tcPr>
            <w:tcW w:type="dxa" w:w="144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❌ Qualitative</w:t>
            </w:r>
          </w:p>
        </w:tc>
      </w:tr>
      <w:tr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1. Fundamental</w:t>
            </w:r>
          </w:p>
        </w:tc>
        <w:tc>
          <w:tcPr>
            <w:tcW w:type="dxa" w:w="100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115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115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58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</w:tr>
      <w:tr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2. Profitability</w:t>
            </w:r>
          </w:p>
        </w:tc>
        <w:tc>
          <w:tcPr>
            <w:tcW w:type="dxa" w:w="100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115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115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58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</w:tr>
      <w:tr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3. Valuation</w:t>
            </w:r>
          </w:p>
        </w:tc>
        <w:tc>
          <w:tcPr>
            <w:tcW w:type="dxa" w:w="100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115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115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58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</w:tr>
      <w:tr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4. Growth</w:t>
            </w:r>
          </w:p>
        </w:tc>
        <w:tc>
          <w:tcPr>
            <w:tcW w:type="dxa" w:w="100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115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115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58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</w:tr>
      <w:tr>
        <w:tc>
          <w:tcPr>
            <w:tcW w:type="dxa" w:w="288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5. Financial Health</w:t>
            </w:r>
          </w:p>
        </w:tc>
        <w:tc>
          <w:tcPr>
            <w:tcW w:type="dxa" w:w="1008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115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1152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584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</w:tr>
      <w:tr>
        <w:tc>
          <w:tcPr>
            <w:tcW w:type="dxa" w:w="2880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6. Cash Flow Quality</w:t>
            </w:r>
          </w:p>
        </w:tc>
        <w:tc>
          <w:tcPr>
            <w:tcW w:type="dxa" w:w="1008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1152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152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584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</w:tr>
      <w:tr>
        <w:tc>
          <w:tcPr>
            <w:tcW w:type="dxa" w:w="2880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7. Technical</w:t>
            </w:r>
          </w:p>
        </w:tc>
        <w:tc>
          <w:tcPr>
            <w:tcW w:type="dxa" w:w="1008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1152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1152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584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</w:tr>
      <w:tr>
        <w:tc>
          <w:tcPr>
            <w:tcW w:type="dxa" w:w="2880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8. Risk</w:t>
            </w:r>
          </w:p>
        </w:tc>
        <w:tc>
          <w:tcPr>
            <w:tcW w:type="dxa" w:w="1008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1152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152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1584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1</w:t>
            </w:r>
          </w:p>
        </w:tc>
      </w:tr>
      <w:tr>
        <w:tc>
          <w:tcPr>
            <w:tcW w:type="dxa" w:w="2880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9. Dividend</w:t>
            </w:r>
          </w:p>
        </w:tc>
        <w:tc>
          <w:tcPr>
            <w:tcW w:type="dxa" w:w="1008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1152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1152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584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</w:tr>
      <w:tr>
        <w:tc>
          <w:tcPr>
            <w:tcW w:type="dxa" w:w="2880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10. Momentum</w:t>
            </w:r>
          </w:p>
        </w:tc>
        <w:tc>
          <w:tcPr>
            <w:tcW w:type="dxa" w:w="1008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1152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1152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584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</w:tr>
      <w:tr>
        <w:tc>
          <w:tcPr>
            <w:tcW w:type="dxa" w:w="288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11. Quality &amp; Moat</w:t>
            </w:r>
          </w:p>
        </w:tc>
        <w:tc>
          <w:tcPr>
            <w:tcW w:type="dxa" w:w="1008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11</w:t>
            </w:r>
          </w:p>
        </w:tc>
        <w:tc>
          <w:tcPr>
            <w:tcW w:type="dxa" w:w="1152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152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584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rFonts w:ascii="Calibri" w:hAnsi="Calibri"/>
                <w:sz w:val="17"/>
              </w:rPr>
              <w:t>5</w:t>
            </w:r>
          </w:p>
        </w:tc>
      </w:tr>
      <w:tr>
        <w:tc>
          <w:tcPr>
            <w:tcW w:type="dxa" w:w="2880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TOTAL</w:t>
            </w:r>
          </w:p>
        </w:tc>
        <w:tc>
          <w:tcPr>
            <w:tcW w:type="dxa" w:w="1008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85</w:t>
            </w:r>
          </w:p>
        </w:tc>
        <w:tc>
          <w:tcPr>
            <w:tcW w:type="dxa" w:w="1152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67</w:t>
            </w:r>
          </w:p>
        </w:tc>
        <w:tc>
          <w:tcPr>
            <w:tcW w:type="dxa" w:w="1152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1584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rFonts w:ascii="Calibri" w:hAnsi="Calibri"/>
                <w:sz w:val="17"/>
              </w:rPr>
              <w:t>6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rFonts w:ascii="Calibri" w:hAnsi="Calibri"/>
          <w:b/>
          <w:i w:val="0"/>
          <w:sz w:val="20"/>
        </w:rPr>
        <w:t>RESULT: 67 of 85 metrics (79%) are fully implemented as dedicated columns.</w:t>
        <w:br/>
        <w:t>5 more are partially covered (data exists, ratio not pre-computed).</w:t>
        <w:br/>
        <w:t>5 gaps are computable from existing data — all closable within ~1 week of development.</w:t>
        <w:br/>
        <w:t>2 require a new data source (analyst consensus — EODHD has this endpoint).</w:t>
        <w:br/>
        <w:t>6 are inherently qualitative and cannot be derived from financial data alone.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