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Arial" w:cs="Arial" w:eastAsia="Arial" w:hAnsi="Arial"/>
          <w:b/>
          <w:bCs/>
          <w:i w:val="false"/>
          <w:iCs w:val="false"/>
          <w:color w:val="00B5A3"/>
          <w:sz w:val="52"/>
          <w:szCs w:val="52"/>
        </w:rPr>
        <w:t xml:space="preserve">PRODUCT TEARDOWN</w:t>
      </w:r>
    </w:p>
    <w:p>
      <w:pPr>
        <w:spacing w:after="60"/>
        <w:jc w:val="left"/>
      </w:pPr>
      <w:r>
        <w:rPr>
          <w:rFonts w:ascii="Arial" w:cs="Arial" w:eastAsia="Arial" w:hAnsi="Arial"/>
          <w:b/>
          <w:bCs/>
          <w:i w:val="false"/>
          <w:iCs w:val="false"/>
          <w:color w:val="1A1A1A"/>
          <w:sz w:val="38"/>
          <w:szCs w:val="38"/>
        </w:rPr>
        <w:t xml:space="preserve">Subspace.money</w:t>
      </w:r>
    </w:p>
    <w:p>
      <w:pPr>
        <w:pBdr>
          <w:bottom w:val="single" w:color="00B5A3" w:sz="8" w:space="1"/>
        </w:pBdr>
        <w:spacing w:after="200"/>
      </w:pPr>
      <w:r>
        <w:rPr>
          <w:rFonts w:ascii="Arial" w:cs="Arial" w:eastAsia="Arial" w:hAnsi="Arial"/>
          <w:b w:val="false"/>
          <w:bCs w:val="false"/>
          <w:i w:val="false"/>
          <w:iCs w:val="false"/>
          <w:color w:val="555555"/>
          <w:sz w:val="20"/>
          <w:szCs w:val="20"/>
        </w:rPr>
        <w:t xml:space="preserve">5 Product Feedbacks  ·  Vocallabs.ai Product Intern Assignment 2026</w:t>
      </w:r>
    </w:p>
    <w:p>
      <w:pPr>
        <w:spacing w:after="40"/>
      </w:pPr>
      <w:r>
        <w:t xml:space="preserve"/>
      </w:r>
    </w:p>
    <w:p>
      <w:pPr>
        <w:spacing w:after="40"/>
        <w:jc w:val="left"/>
      </w:pPr>
      <w:r>
        <w:rPr>
          <w:rFonts w:ascii="Arial" w:cs="Arial" w:eastAsia="Arial" w:hAnsi="Arial"/>
          <w:b w:val="false"/>
          <w:bCs w:val="false"/>
          <w:i w:val="false"/>
          <w:iCs w:val="false"/>
          <w:color w:val="555555"/>
          <w:sz w:val="20"/>
          <w:szCs w:val="20"/>
        </w:rPr>
        <w:t xml:space="preserve">Subspace.money is India's first subscription management + group sharing platform. This teardown is based on direct hands-on usage of the Android app — including sign-up, Public Groups, My Subscriptions, the Home dashboard, Gift Card Marketplace, and the Group Joining flow.</w:t>
      </w:r>
    </w:p>
    <w:p>
      <w:pPr>
        <w:spacing w:after="60"/>
      </w:pPr>
      <w:r>
        <w:t xml:space="preserve"/>
      </w:r>
    </w:p>
    <w:p>
      <w:pPr>
        <w:pBdr>
          <w:bottom w:val="single" w:color="EEEEEE"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9360"/>
            <w:gridSpan w:val="2"/>
            <w:tcBorders>
              <w:top w:val="none" w:color="FFFFFF" w:sz="0"/>
              <w:left w:val="none" w:color="FFFFFF" w:sz="0"/>
              <w:bottom w:val="none" w:color="FFFFFF" w:sz="0"/>
              <w:right w:val="none" w:color="FFFFFF" w:sz="0"/>
            </w:tcBorders>
            <w:shd w:fill="003D36" w:val="clear"/>
            <w:tcMar>
              <w:top w:type="dxa" w:w="140"/>
              <w:left w:type="dxa" w:w="200"/>
              <w:bottom w:type="dxa" w:w="140"/>
              <w:right w:type="dxa" w:w="200"/>
            </w:tcMar>
          </w:tcPr>
          <w:p>
            <w:r>
              <w:rPr>
                <w:rFonts w:ascii="Arial" w:cs="Arial" w:eastAsia="Arial" w:hAnsi="Arial"/>
                <w:b/>
                <w:bCs/>
                <w:i w:val="false"/>
                <w:iCs w:val="false"/>
                <w:color w:val="FFFFFF"/>
                <w:sz w:val="26"/>
                <w:szCs w:val="26"/>
              </w:rPr>
              <w:t xml:space="preserve">#1   </w:t>
            </w:r>
            <w:r>
              <w:rPr>
                <w:rFonts w:ascii="Arial" w:cs="Arial" w:eastAsia="Arial" w:hAnsi="Arial"/>
                <w:b/>
                <w:bCs/>
                <w:i w:val="false"/>
                <w:iCs w:val="false"/>
                <w:color w:val="00B5A3"/>
                <w:sz w:val="26"/>
                <w:szCs w:val="26"/>
              </w:rPr>
              <w:t xml:space="preserve">UX — Onboarding drops new users into confusion</w:t>
            </w:r>
          </w:p>
        </w:tc>
      </w:tr>
      <w:tr>
        <w:tc>
          <w:tcPr>
            <w:tcW w:type="dxa" w:w="1700"/>
            <w:tcBorders>
              <w:top w:val="single" w:color="DDDDDD" w:sz="1"/>
              <w:left w:val="single" w:color="DDDDDD" w:sz="1"/>
              <w:bottom w:val="single" w:color="DDDDDD" w:sz="1"/>
              <w:right w:val="single" w:color="DDDDDD" w:sz="1"/>
            </w:tcBorders>
            <w:shd w:fill="E8FAF7" w:val="clear"/>
            <w:tcMar>
              <w:top w:type="dxa" w:w="120"/>
              <w:left w:type="dxa" w:w="180"/>
              <w:bottom w:type="dxa" w:w="120"/>
              <w:right w:type="dxa" w:w="180"/>
            </w:tcMar>
          </w:tcPr>
          <w:p>
            <w:r>
              <w:rPr>
                <w:rFonts w:ascii="Arial" w:cs="Arial" w:eastAsia="Arial" w:hAnsi="Arial"/>
                <w:b/>
                <w:bCs/>
                <w:i w:val="false"/>
                <w:iCs w:val="false"/>
                <w:color w:val="00B5A3"/>
                <w:sz w:val="20"/>
                <w:szCs w:val="20"/>
              </w:rPr>
              <w:t xml:space="preserve">(a) Observed</w:t>
            </w:r>
          </w:p>
        </w:tc>
        <w:tc>
          <w:tcPr>
            <w:tcW w:type="dxa" w:w="7660"/>
            <w:tcBorders>
              <w:top w:val="single" w:color="DDDDDD" w:sz="1"/>
              <w:left w:val="single" w:color="DDDDDD" w:sz="1"/>
              <w:bottom w:val="single" w:color="DDDDDD" w:sz="1"/>
              <w:right w:val="single" w:color="DDDDDD" w:sz="1"/>
            </w:tcBorders>
            <w:tcMar>
              <w:top w:type="dxa" w:w="120"/>
              <w:left w:type="dxa" w:w="180"/>
              <w:bottom w:type="dxa" w:w="120"/>
              <w:right w:type="dxa" w:w="180"/>
            </w:tcMar>
          </w:tcPr>
          <w:p>
            <w:pPr>
              <w:spacing w:after="0"/>
            </w:pPr>
            <w:r>
              <w:rPr>
                <w:rFonts w:ascii="Arial" w:cs="Arial" w:eastAsia="Arial" w:hAnsi="Arial"/>
                <w:b w:val="false"/>
                <w:bCs w:val="false"/>
                <w:i w:val="false"/>
                <w:iCs w:val="false"/>
                <w:color w:val="1A1A1A"/>
                <w:sz w:val="20"/>
                <w:szCs w:val="20"/>
              </w:rPr>
              <w:t xml:space="preserve">After signing up, I landed directly on the 'Public Groups' screen with zero context — no intro, no tooltip, no explanation of what Public Groups even means. The group joining screen immediately showed ratings, slots, prices, and chat icons with no guidance for a first-time user.</w:t>
            </w:r>
          </w:p>
        </w:tc>
      </w:tr>
      <w:tr>
        <w:tc>
          <w:tcPr>
            <w:tcW w:type="dxa" w:w="1700"/>
            <w:tcBorders>
              <w:top w:val="single" w:color="DDDDDD" w:sz="1"/>
              <w:left w:val="single" w:color="DDDDDD" w:sz="1"/>
              <w:bottom w:val="single" w:color="DDDDDD" w:sz="1"/>
              <w:right w:val="single" w:color="DDDDDD" w:sz="1"/>
            </w:tcBorders>
            <w:shd w:fill="E8FAF7" w:val="clear"/>
            <w:tcMar>
              <w:top w:type="dxa" w:w="120"/>
              <w:left w:type="dxa" w:w="180"/>
              <w:bottom w:type="dxa" w:w="120"/>
              <w:right w:type="dxa" w:w="180"/>
            </w:tcMar>
          </w:tcPr>
          <w:p>
            <w:r>
              <w:rPr>
                <w:rFonts w:ascii="Arial" w:cs="Arial" w:eastAsia="Arial" w:hAnsi="Arial"/>
                <w:b/>
                <w:bCs/>
                <w:i w:val="false"/>
                <w:iCs w:val="false"/>
                <w:color w:val="00B5A3"/>
                <w:sz w:val="20"/>
                <w:szCs w:val="20"/>
              </w:rPr>
              <w:t xml:space="preserve">(b) Problem</w:t>
            </w:r>
          </w:p>
        </w:tc>
        <w:tc>
          <w:tcPr>
            <w:tcW w:type="dxa" w:w="7660"/>
            <w:tcBorders>
              <w:top w:val="single" w:color="DDDDDD" w:sz="1"/>
              <w:left w:val="single" w:color="DDDDDD" w:sz="1"/>
              <w:bottom w:val="single" w:color="DDDDDD" w:sz="1"/>
              <w:right w:val="single" w:color="DDDDDD" w:sz="1"/>
            </w:tcBorders>
            <w:tcMar>
              <w:top w:type="dxa" w:w="120"/>
              <w:left w:type="dxa" w:w="180"/>
              <w:bottom w:type="dxa" w:w="120"/>
              <w:right w:type="dxa" w:w="180"/>
            </w:tcMar>
          </w:tcPr>
          <w:p>
            <w:pPr>
              <w:spacing w:after="0"/>
            </w:pPr>
            <w:r>
              <w:rPr>
                <w:rFonts w:ascii="Arial" w:cs="Arial" w:eastAsia="Arial" w:hAnsi="Arial"/>
                <w:b w:val="false"/>
                <w:bCs w:val="false"/>
                <w:i w:val="false"/>
                <w:iCs w:val="false"/>
                <w:color w:val="1A1A1A"/>
                <w:sz w:val="20"/>
                <w:szCs w:val="20"/>
              </w:rPr>
              <w:t xml:space="preserve">A new user has no mental model of Subspace's core value prop — subscription sharing, bill splitting, group finance. Without any orientation, they can't decide what to do first. This drives Day-1 drop-off and wastes acquisition spend. First impressions are especially damaging in fintech where trust is earned slowly.</w:t>
            </w:r>
          </w:p>
        </w:tc>
      </w:tr>
      <w:tr>
        <w:tc>
          <w:tcPr>
            <w:tcW w:type="dxa" w:w="1700"/>
            <w:tcBorders>
              <w:top w:val="single" w:color="DDDDDD" w:sz="1"/>
              <w:left w:val="single" w:color="DDDDDD" w:sz="1"/>
              <w:bottom w:val="single" w:color="DDDDDD" w:sz="1"/>
              <w:right w:val="single" w:color="DDDDDD" w:sz="1"/>
            </w:tcBorders>
            <w:shd w:fill="E8FAF7" w:val="clear"/>
            <w:tcMar>
              <w:top w:type="dxa" w:w="120"/>
              <w:left w:type="dxa" w:w="180"/>
              <w:bottom w:type="dxa" w:w="120"/>
              <w:right w:type="dxa" w:w="180"/>
            </w:tcMar>
          </w:tcPr>
          <w:p>
            <w:r>
              <w:rPr>
                <w:rFonts w:ascii="Arial" w:cs="Arial" w:eastAsia="Arial" w:hAnsi="Arial"/>
                <w:b/>
                <w:bCs/>
                <w:i w:val="false"/>
                <w:iCs w:val="false"/>
                <w:color w:val="00B5A3"/>
                <w:sz w:val="20"/>
                <w:szCs w:val="20"/>
              </w:rPr>
              <w:t xml:space="preserve">(c) Ship Instead</w:t>
            </w:r>
          </w:p>
        </w:tc>
        <w:tc>
          <w:tcPr>
            <w:tcW w:type="dxa" w:w="7660"/>
            <w:tcBorders>
              <w:top w:val="single" w:color="DDDDDD" w:sz="1"/>
              <w:left w:val="single" w:color="DDDDDD" w:sz="1"/>
              <w:bottom w:val="single" w:color="DDDDDD" w:sz="1"/>
              <w:right w:val="single" w:color="DDDDDD" w:sz="1"/>
            </w:tcBorders>
            <w:tcMar>
              <w:top w:type="dxa" w:w="120"/>
              <w:left w:type="dxa" w:w="180"/>
              <w:bottom w:type="dxa" w:w="120"/>
              <w:right w:type="dxa" w:w="180"/>
            </w:tcMar>
          </w:tcPr>
          <w:p>
            <w:pPr>
              <w:spacing w:after="0"/>
            </w:pPr>
            <w:r>
              <w:rPr>
                <w:rFonts w:ascii="Arial" w:cs="Arial" w:eastAsia="Arial" w:hAnsi="Arial"/>
                <w:b w:val="false"/>
                <w:bCs w:val="false"/>
                <w:i w:val="false"/>
                <w:iCs w:val="false"/>
                <w:color w:val="1A1A1A"/>
                <w:sz w:val="20"/>
                <w:szCs w:val="20"/>
              </w:rPr>
              <w:t xml:space="preserve">Add a 3-screen post-signup onboarding: (1) Track all your subscriptions, (2) Share plans and save money, (3) Split bills without follow-ups — each with one CTA. At minimum, add contextual tooltips on the Home screen to guide the first action.</w:t>
            </w:r>
          </w:p>
        </w:tc>
      </w:tr>
      <w:tr>
        <w:tc>
          <w:tcPr>
            <w:tcW w:type="dxa" w:w="9360"/>
            <w:gridSpan w:val="2"/>
            <w:tcBorders>
              <w:top w:val="single" w:color="00B5A3" w:sz="6"/>
              <w:left w:val="none" w:color="FFFFFF" w:sz="0"/>
              <w:bottom w:val="none" w:color="FFFFFF" w:sz="0"/>
              <w:right w:val="none" w:color="FFFFFF" w:sz="0"/>
            </w:tcBorders>
            <w:shd w:fill="F4F4F4" w:val="clear"/>
            <w:tcMar>
              <w:top w:type="dxa" w:w="160"/>
              <w:left w:type="dxa" w:w="200"/>
              <w:bottom w:type="dxa" w:w="200"/>
              <w:right w:type="dxa" w:w="200"/>
            </w:tcMar>
          </w:tcPr>
          <w:p>
            <w:pPr>
              <w:spacing w:after="120"/>
            </w:pPr>
            <w:r>
              <w:rPr>
                <w:rFonts w:ascii="Arial" w:cs="Arial" w:eastAsia="Arial" w:hAnsi="Arial"/>
                <w:b/>
                <w:bCs/>
                <w:i w:val="false"/>
                <w:iCs w:val="false"/>
                <w:color w:val="555555"/>
                <w:sz w:val="18"/>
                <w:szCs w:val="18"/>
              </w:rPr>
              <w:t xml:space="preserve">📸  Screenshot Evidence</w:t>
            </w:r>
          </w:p>
          <w:p>
            <w:pPr>
              <w:spacing w:after="0"/>
              <w:jc w:val="left"/>
            </w:pPr>
            <w:r>
              <w:drawing>
                <wp:inline distT="0" distB="0" distL="0" distR="0">
                  <wp:extent cx="1047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2333625"/>
                          </a:xfrm>
                          <a:prstGeom prst="rect">
                            <a:avLst/>
                          </a:prstGeom>
                        </pic:spPr>
                      </pic:pic>
                    </a:graphicData>
                  </a:graphic>
                </wp:inline>
              </w:drawing>
            </w:r>
            <w:r>
              <w:t xml:space="preserve">    </w:t>
            </w:r>
            <w:r>
              <w:drawing>
                <wp:inline distT="0" distB="0" distL="0" distR="0">
                  <wp:extent cx="1047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2333625"/>
                          </a:xfrm>
                          <a:prstGeom prst="rect">
                            <a:avLst/>
                          </a:prstGeom>
                        </pic:spPr>
                      </pic:pic>
                    </a:graphicData>
                  </a:graphic>
                </wp:inline>
              </w:drawing>
            </w:r>
          </w:p>
        </w:tc>
      </w:tr>
    </w:tbl>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9360"/>
            <w:gridSpan w:val="2"/>
            <w:tcBorders>
              <w:top w:val="none" w:color="FFFFFF" w:sz="0"/>
              <w:left w:val="none" w:color="FFFFFF" w:sz="0"/>
              <w:bottom w:val="none" w:color="FFFFFF" w:sz="0"/>
              <w:right w:val="none" w:color="FFFFFF" w:sz="0"/>
            </w:tcBorders>
            <w:shd w:fill="003D36" w:val="clear"/>
            <w:tcMar>
              <w:top w:type="dxa" w:w="140"/>
              <w:left w:type="dxa" w:w="200"/>
              <w:bottom w:type="dxa" w:w="140"/>
              <w:right w:type="dxa" w:w="200"/>
            </w:tcMar>
          </w:tcPr>
          <w:p>
            <w:r>
              <w:rPr>
                <w:rFonts w:ascii="Arial" w:cs="Arial" w:eastAsia="Arial" w:hAnsi="Arial"/>
                <w:b/>
                <w:bCs/>
                <w:i w:val="false"/>
                <w:iCs w:val="false"/>
                <w:color w:val="FFFFFF"/>
                <w:sz w:val="26"/>
                <w:szCs w:val="26"/>
              </w:rPr>
              <w:t xml:space="preserve">#2   </w:t>
            </w:r>
            <w:r>
              <w:rPr>
                <w:rFonts w:ascii="Arial" w:cs="Arial" w:eastAsia="Arial" w:hAnsi="Arial"/>
                <w:b/>
                <w:bCs/>
                <w:i w:val="false"/>
                <w:iCs w:val="false"/>
                <w:color w:val="00B5A3"/>
                <w:sz w:val="26"/>
                <w:szCs w:val="26"/>
              </w:rPr>
              <w:t xml:space="preserve">Features — No auto-detection of existing subscriptions</w:t>
            </w:r>
          </w:p>
        </w:tc>
      </w:tr>
      <w:tr>
        <w:tc>
          <w:tcPr>
            <w:tcW w:type="dxa" w:w="1700"/>
            <w:tcBorders>
              <w:top w:val="single" w:color="DDDDDD" w:sz="1"/>
              <w:left w:val="single" w:color="DDDDDD" w:sz="1"/>
              <w:bottom w:val="single" w:color="DDDDDD" w:sz="1"/>
              <w:right w:val="single" w:color="DDDDDD" w:sz="1"/>
            </w:tcBorders>
            <w:shd w:fill="E8FAF7" w:val="clear"/>
            <w:tcMar>
              <w:top w:type="dxa" w:w="120"/>
              <w:left w:type="dxa" w:w="180"/>
              <w:bottom w:type="dxa" w:w="120"/>
              <w:right w:type="dxa" w:w="180"/>
            </w:tcMar>
          </w:tcPr>
          <w:p>
            <w:r>
              <w:rPr>
                <w:rFonts w:ascii="Arial" w:cs="Arial" w:eastAsia="Arial" w:hAnsi="Arial"/>
                <w:b/>
                <w:bCs/>
                <w:i w:val="false"/>
                <w:iCs w:val="false"/>
                <w:color w:val="00B5A3"/>
                <w:sz w:val="20"/>
                <w:szCs w:val="20"/>
              </w:rPr>
              <w:t xml:space="preserve">(a) Observed</w:t>
            </w:r>
          </w:p>
        </w:tc>
        <w:tc>
          <w:tcPr>
            <w:tcW w:type="dxa" w:w="7660"/>
            <w:tcBorders>
              <w:top w:val="single" w:color="DDDDDD" w:sz="1"/>
              <w:left w:val="single" w:color="DDDDDD" w:sz="1"/>
              <w:bottom w:val="single" w:color="DDDDDD" w:sz="1"/>
              <w:right w:val="single" w:color="DDDDDD" w:sz="1"/>
            </w:tcBorders>
            <w:tcMar>
              <w:top w:type="dxa" w:w="120"/>
              <w:left w:type="dxa" w:w="180"/>
              <w:bottom w:type="dxa" w:w="120"/>
              <w:right w:type="dxa" w:w="180"/>
            </w:tcMar>
          </w:tcPr>
          <w:p>
            <w:pPr>
              <w:spacing w:after="0"/>
            </w:pPr>
            <w:r>
              <w:rPr>
                <w:rFonts w:ascii="Arial" w:cs="Arial" w:eastAsia="Arial" w:hAnsi="Arial"/>
                <w:b w:val="false"/>
                <w:bCs w:val="false"/>
                <w:i w:val="false"/>
                <w:iCs w:val="false"/>
                <w:color w:val="1A1A1A"/>
                <w:sz w:val="20"/>
                <w:szCs w:val="20"/>
              </w:rPr>
              <w:t xml:space="preserve">'My Subscriptions' opened to a blank 'No Subscriptions Yet' state with only a manual 'Explore Services' button. There was no prompt to connect UPI, bank, or SMS to auto-detect recurring payments I'm already making.</w:t>
            </w:r>
          </w:p>
        </w:tc>
      </w:tr>
      <w:tr>
        <w:tc>
          <w:tcPr>
            <w:tcW w:type="dxa" w:w="1700"/>
            <w:tcBorders>
              <w:top w:val="single" w:color="DDDDDD" w:sz="1"/>
              <w:left w:val="single" w:color="DDDDDD" w:sz="1"/>
              <w:bottom w:val="single" w:color="DDDDDD" w:sz="1"/>
              <w:right w:val="single" w:color="DDDDDD" w:sz="1"/>
            </w:tcBorders>
            <w:shd w:fill="E8FAF7" w:val="clear"/>
            <w:tcMar>
              <w:top w:type="dxa" w:w="120"/>
              <w:left w:type="dxa" w:w="180"/>
              <w:bottom w:type="dxa" w:w="120"/>
              <w:right w:type="dxa" w:w="180"/>
            </w:tcMar>
          </w:tcPr>
          <w:p>
            <w:r>
              <w:rPr>
                <w:rFonts w:ascii="Arial" w:cs="Arial" w:eastAsia="Arial" w:hAnsi="Arial"/>
                <w:b/>
                <w:bCs/>
                <w:i w:val="false"/>
                <w:iCs w:val="false"/>
                <w:color w:val="00B5A3"/>
                <w:sz w:val="20"/>
                <w:szCs w:val="20"/>
              </w:rPr>
              <w:t xml:space="preserve">(b) Problem</w:t>
            </w:r>
          </w:p>
        </w:tc>
        <w:tc>
          <w:tcPr>
            <w:tcW w:type="dxa" w:w="7660"/>
            <w:tcBorders>
              <w:top w:val="single" w:color="DDDDDD" w:sz="1"/>
              <w:left w:val="single" w:color="DDDDDD" w:sz="1"/>
              <w:bottom w:val="single" w:color="DDDDDD" w:sz="1"/>
              <w:right w:val="single" w:color="DDDDDD" w:sz="1"/>
            </w:tcBorders>
            <w:tcMar>
              <w:top w:type="dxa" w:w="120"/>
              <w:left w:type="dxa" w:w="180"/>
              <w:bottom w:type="dxa" w:w="120"/>
              <w:right w:type="dxa" w:w="180"/>
            </w:tcMar>
          </w:tcPr>
          <w:p>
            <w:pPr>
              <w:spacing w:after="0"/>
            </w:pPr>
            <w:r>
              <w:rPr>
                <w:rFonts w:ascii="Arial" w:cs="Arial" w:eastAsia="Arial" w:hAnsi="Arial"/>
                <w:b w:val="false"/>
                <w:bCs w:val="false"/>
                <w:i w:val="false"/>
                <w:iCs w:val="false"/>
                <w:color w:val="1A1A1A"/>
                <w:sz w:val="20"/>
                <w:szCs w:val="20"/>
              </w:rPr>
              <w:t xml:space="preserve">Subspace's core promise is subscription awareness — but burying detection behind manual entry means most users never experience the value. The 'aha moment' is discovering forgotten charges automatically. Without it front and center, the app feels like a static directory, not a personal finance tool, and retention collapses.</w:t>
            </w:r>
          </w:p>
        </w:tc>
      </w:tr>
      <w:tr>
        <w:tc>
          <w:tcPr>
            <w:tcW w:type="dxa" w:w="1700"/>
            <w:tcBorders>
              <w:top w:val="single" w:color="DDDDDD" w:sz="1"/>
              <w:left w:val="single" w:color="DDDDDD" w:sz="1"/>
              <w:bottom w:val="single" w:color="DDDDDD" w:sz="1"/>
              <w:right w:val="single" w:color="DDDDDD" w:sz="1"/>
            </w:tcBorders>
            <w:shd w:fill="E8FAF7" w:val="clear"/>
            <w:tcMar>
              <w:top w:type="dxa" w:w="120"/>
              <w:left w:type="dxa" w:w="180"/>
              <w:bottom w:type="dxa" w:w="120"/>
              <w:right w:type="dxa" w:w="180"/>
            </w:tcMar>
          </w:tcPr>
          <w:p>
            <w:r>
              <w:rPr>
                <w:rFonts w:ascii="Arial" w:cs="Arial" w:eastAsia="Arial" w:hAnsi="Arial"/>
                <w:b/>
                <w:bCs/>
                <w:i w:val="false"/>
                <w:iCs w:val="false"/>
                <w:color w:val="00B5A3"/>
                <w:sz w:val="20"/>
                <w:szCs w:val="20"/>
              </w:rPr>
              <w:t xml:space="preserve">(c) Ship Instead</w:t>
            </w:r>
          </w:p>
        </w:tc>
        <w:tc>
          <w:tcPr>
            <w:tcW w:type="dxa" w:w="7660"/>
            <w:tcBorders>
              <w:top w:val="single" w:color="DDDDDD" w:sz="1"/>
              <w:left w:val="single" w:color="DDDDDD" w:sz="1"/>
              <w:bottom w:val="single" w:color="DDDDDD" w:sz="1"/>
              <w:right w:val="single" w:color="DDDDDD" w:sz="1"/>
            </w:tcBorders>
            <w:tcMar>
              <w:top w:type="dxa" w:w="120"/>
              <w:left w:type="dxa" w:w="180"/>
              <w:bottom w:type="dxa" w:w="120"/>
              <w:right w:type="dxa" w:w="180"/>
            </w:tcMar>
          </w:tcPr>
          <w:p>
            <w:pPr>
              <w:spacing w:after="0"/>
            </w:pPr>
            <w:r>
              <w:rPr>
                <w:rFonts w:ascii="Arial" w:cs="Arial" w:eastAsia="Arial" w:hAnsi="Arial"/>
                <w:b w:val="false"/>
                <w:bCs w:val="false"/>
                <w:i w:val="false"/>
                <w:iCs w:val="false"/>
                <w:color w:val="1A1A1A"/>
                <w:sz w:val="20"/>
                <w:szCs w:val="20"/>
              </w:rPr>
              <w:t xml:space="preserve">On the empty-state screen, add a prominent 'Connect UPI / bank to auto-detect your subscriptions' banner. Use SMS read permission (with clear consent) or UPI statement import to surface recurring charges. Even a quick-add widget for top 10 common apps (Netflix, Spotify, Jio, Prime) as one-tap chips would cut friction dramatically.</w:t>
            </w:r>
          </w:p>
        </w:tc>
      </w:tr>
      <w:tr>
        <w:tc>
          <w:tcPr>
            <w:tcW w:type="dxa" w:w="9360"/>
            <w:gridSpan w:val="2"/>
            <w:tcBorders>
              <w:top w:val="single" w:color="00B5A3" w:sz="6"/>
              <w:left w:val="none" w:color="FFFFFF" w:sz="0"/>
              <w:bottom w:val="none" w:color="FFFFFF" w:sz="0"/>
              <w:right w:val="none" w:color="FFFFFF" w:sz="0"/>
            </w:tcBorders>
            <w:shd w:fill="F4F4F4" w:val="clear"/>
            <w:tcMar>
              <w:top w:type="dxa" w:w="160"/>
              <w:left w:type="dxa" w:w="200"/>
              <w:bottom w:type="dxa" w:w="200"/>
              <w:right w:type="dxa" w:w="200"/>
            </w:tcMar>
          </w:tcPr>
          <w:p>
            <w:pPr>
              <w:spacing w:after="120"/>
            </w:pPr>
            <w:r>
              <w:rPr>
                <w:rFonts w:ascii="Arial" w:cs="Arial" w:eastAsia="Arial" w:hAnsi="Arial"/>
                <w:b/>
                <w:bCs/>
                <w:i w:val="false"/>
                <w:iCs w:val="false"/>
                <w:color w:val="555555"/>
                <w:sz w:val="18"/>
                <w:szCs w:val="18"/>
              </w:rPr>
              <w:t xml:space="preserve">📸  Screenshot Evidence</w:t>
            </w:r>
          </w:p>
          <w:p>
            <w:pPr>
              <w:spacing w:after="0"/>
              <w:jc w:val="left"/>
            </w:pPr>
            <w:r>
              <w:drawing>
                <wp:inline distT="0" distB="0" distL="0" distR="0">
                  <wp:extent cx="1047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2333625"/>
                          </a:xfrm>
                          <a:prstGeom prst="rect">
                            <a:avLst/>
                          </a:prstGeom>
                        </pic:spPr>
                      </pic:pic>
                    </a:graphicData>
                  </a:graphic>
                </wp:inline>
              </w:drawing>
            </w:r>
          </w:p>
        </w:tc>
      </w:tr>
    </w:tbl>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9360"/>
            <w:gridSpan w:val="2"/>
            <w:tcBorders>
              <w:top w:val="none" w:color="FFFFFF" w:sz="0"/>
              <w:left w:val="none" w:color="FFFFFF" w:sz="0"/>
              <w:bottom w:val="none" w:color="FFFFFF" w:sz="0"/>
              <w:right w:val="none" w:color="FFFFFF" w:sz="0"/>
            </w:tcBorders>
            <w:shd w:fill="003D36" w:val="clear"/>
            <w:tcMar>
              <w:top w:type="dxa" w:w="140"/>
              <w:left w:type="dxa" w:w="200"/>
              <w:bottom w:type="dxa" w:w="140"/>
              <w:right w:type="dxa" w:w="200"/>
            </w:tcMar>
          </w:tcPr>
          <w:p>
            <w:r>
              <w:rPr>
                <w:rFonts w:ascii="Arial" w:cs="Arial" w:eastAsia="Arial" w:hAnsi="Arial"/>
                <w:b/>
                <w:bCs/>
                <w:i w:val="false"/>
                <w:iCs w:val="false"/>
                <w:color w:val="FFFFFF"/>
                <w:sz w:val="26"/>
                <w:szCs w:val="26"/>
              </w:rPr>
              <w:t xml:space="preserve">#3   </w:t>
            </w:r>
            <w:r>
              <w:rPr>
                <w:rFonts w:ascii="Arial" w:cs="Arial" w:eastAsia="Arial" w:hAnsi="Arial"/>
                <w:b/>
                <w:bCs/>
                <w:i w:val="false"/>
                <w:iCs w:val="false"/>
                <w:color w:val="00B5A3"/>
                <w:sz w:val="26"/>
                <w:szCs w:val="26"/>
              </w:rPr>
              <w:t xml:space="preserve">UX — Screens render as blank black cards with no loading feedback</w:t>
            </w:r>
          </w:p>
        </w:tc>
      </w:tr>
      <w:tr>
        <w:tc>
          <w:tcPr>
            <w:tcW w:type="dxa" w:w="1700"/>
            <w:tcBorders>
              <w:top w:val="single" w:color="DDDDDD" w:sz="1"/>
              <w:left w:val="single" w:color="DDDDDD" w:sz="1"/>
              <w:bottom w:val="single" w:color="DDDDDD" w:sz="1"/>
              <w:right w:val="single" w:color="DDDDDD" w:sz="1"/>
            </w:tcBorders>
            <w:shd w:fill="E8FAF7" w:val="clear"/>
            <w:tcMar>
              <w:top w:type="dxa" w:w="120"/>
              <w:left w:type="dxa" w:w="180"/>
              <w:bottom w:type="dxa" w:w="120"/>
              <w:right w:type="dxa" w:w="180"/>
            </w:tcMar>
          </w:tcPr>
          <w:p>
            <w:r>
              <w:rPr>
                <w:rFonts w:ascii="Arial" w:cs="Arial" w:eastAsia="Arial" w:hAnsi="Arial"/>
                <w:b/>
                <w:bCs/>
                <w:i w:val="false"/>
                <w:iCs w:val="false"/>
                <w:color w:val="00B5A3"/>
                <w:sz w:val="20"/>
                <w:szCs w:val="20"/>
              </w:rPr>
              <w:t xml:space="preserve">(a) Observed</w:t>
            </w:r>
          </w:p>
        </w:tc>
        <w:tc>
          <w:tcPr>
            <w:tcW w:type="dxa" w:w="7660"/>
            <w:tcBorders>
              <w:top w:val="single" w:color="DDDDDD" w:sz="1"/>
              <w:left w:val="single" w:color="DDDDDD" w:sz="1"/>
              <w:bottom w:val="single" w:color="DDDDDD" w:sz="1"/>
              <w:right w:val="single" w:color="DDDDDD" w:sz="1"/>
            </w:tcBorders>
            <w:tcMar>
              <w:top w:type="dxa" w:w="120"/>
              <w:left w:type="dxa" w:w="180"/>
              <w:bottom w:type="dxa" w:w="120"/>
              <w:right w:type="dxa" w:w="180"/>
            </w:tcMar>
          </w:tcPr>
          <w:p>
            <w:pPr>
              <w:spacing w:after="0"/>
            </w:pPr>
            <w:r>
              <w:rPr>
                <w:rFonts w:ascii="Arial" w:cs="Arial" w:eastAsia="Arial" w:hAnsi="Arial"/>
                <w:b w:val="false"/>
                <w:bCs w:val="false"/>
                <w:i w:val="false"/>
                <w:iCs w:val="false"/>
                <w:color w:val="1A1A1A"/>
                <w:sz w:val="20"/>
                <w:szCs w:val="20"/>
              </w:rPr>
              <w:t xml:space="preserve">On two separate occasions — My Subscriptions at 7:50 AM and the Explore section at 7:52 AM — the screen displayed large black empty card-shaped boxes with no spinner, shimmer, or error message. I had to wait silently or re-navigate to get content.</w:t>
            </w:r>
          </w:p>
        </w:tc>
      </w:tr>
      <w:tr>
        <w:tc>
          <w:tcPr>
            <w:tcW w:type="dxa" w:w="1700"/>
            <w:tcBorders>
              <w:top w:val="single" w:color="DDDDDD" w:sz="1"/>
              <w:left w:val="single" w:color="DDDDDD" w:sz="1"/>
              <w:bottom w:val="single" w:color="DDDDDD" w:sz="1"/>
              <w:right w:val="single" w:color="DDDDDD" w:sz="1"/>
            </w:tcBorders>
            <w:shd w:fill="E8FAF7" w:val="clear"/>
            <w:tcMar>
              <w:top w:type="dxa" w:w="120"/>
              <w:left w:type="dxa" w:w="180"/>
              <w:bottom w:type="dxa" w:w="120"/>
              <w:right w:type="dxa" w:w="180"/>
            </w:tcMar>
          </w:tcPr>
          <w:p>
            <w:r>
              <w:rPr>
                <w:rFonts w:ascii="Arial" w:cs="Arial" w:eastAsia="Arial" w:hAnsi="Arial"/>
                <w:b/>
                <w:bCs/>
                <w:i w:val="false"/>
                <w:iCs w:val="false"/>
                <w:color w:val="00B5A3"/>
                <w:sz w:val="20"/>
                <w:szCs w:val="20"/>
              </w:rPr>
              <w:t xml:space="preserve">(b) Problem</w:t>
            </w:r>
          </w:p>
        </w:tc>
        <w:tc>
          <w:tcPr>
            <w:tcW w:type="dxa" w:w="7660"/>
            <w:tcBorders>
              <w:top w:val="single" w:color="DDDDDD" w:sz="1"/>
              <w:left w:val="single" w:color="DDDDDD" w:sz="1"/>
              <w:bottom w:val="single" w:color="DDDDDD" w:sz="1"/>
              <w:right w:val="single" w:color="DDDDDD" w:sz="1"/>
            </w:tcBorders>
            <w:tcMar>
              <w:top w:type="dxa" w:w="120"/>
              <w:left w:type="dxa" w:w="180"/>
              <w:bottom w:type="dxa" w:w="120"/>
              <w:right w:type="dxa" w:w="180"/>
            </w:tcMar>
          </w:tcPr>
          <w:p>
            <w:pPr>
              <w:spacing w:after="0"/>
            </w:pPr>
            <w:r>
              <w:rPr>
                <w:rFonts w:ascii="Arial" w:cs="Arial" w:eastAsia="Arial" w:hAnsi="Arial"/>
                <w:b w:val="false"/>
                <w:bCs w:val="false"/>
                <w:i w:val="false"/>
                <w:iCs w:val="false"/>
                <w:color w:val="1A1A1A"/>
                <w:sz w:val="20"/>
                <w:szCs w:val="20"/>
              </w:rPr>
              <w:t xml:space="preserve">Blank black voids in a fintech app kill trust instantly. Users wonder if the app crashed, if data was lost, or if their money is safe. This is especially harmful when onboarding new users who haven't yet committed to the product. Even a 5-second silent blank screen can cause uninstalls.</w:t>
            </w:r>
          </w:p>
        </w:tc>
      </w:tr>
      <w:tr>
        <w:tc>
          <w:tcPr>
            <w:tcW w:type="dxa" w:w="1700"/>
            <w:tcBorders>
              <w:top w:val="single" w:color="DDDDDD" w:sz="1"/>
              <w:left w:val="single" w:color="DDDDDD" w:sz="1"/>
              <w:bottom w:val="single" w:color="DDDDDD" w:sz="1"/>
              <w:right w:val="single" w:color="DDDDDD" w:sz="1"/>
            </w:tcBorders>
            <w:shd w:fill="E8FAF7" w:val="clear"/>
            <w:tcMar>
              <w:top w:type="dxa" w:w="120"/>
              <w:left w:type="dxa" w:w="180"/>
              <w:bottom w:type="dxa" w:w="120"/>
              <w:right w:type="dxa" w:w="180"/>
            </w:tcMar>
          </w:tcPr>
          <w:p>
            <w:r>
              <w:rPr>
                <w:rFonts w:ascii="Arial" w:cs="Arial" w:eastAsia="Arial" w:hAnsi="Arial"/>
                <w:b/>
                <w:bCs/>
                <w:i w:val="false"/>
                <w:iCs w:val="false"/>
                <w:color w:val="00B5A3"/>
                <w:sz w:val="20"/>
                <w:szCs w:val="20"/>
              </w:rPr>
              <w:t xml:space="preserve">(c) Ship Instead</w:t>
            </w:r>
          </w:p>
        </w:tc>
        <w:tc>
          <w:tcPr>
            <w:tcW w:type="dxa" w:w="7660"/>
            <w:tcBorders>
              <w:top w:val="single" w:color="DDDDDD" w:sz="1"/>
              <w:left w:val="single" w:color="DDDDDD" w:sz="1"/>
              <w:bottom w:val="single" w:color="DDDDDD" w:sz="1"/>
              <w:right w:val="single" w:color="DDDDDD" w:sz="1"/>
            </w:tcBorders>
            <w:tcMar>
              <w:top w:type="dxa" w:w="120"/>
              <w:left w:type="dxa" w:w="180"/>
              <w:bottom w:type="dxa" w:w="120"/>
              <w:right w:type="dxa" w:w="180"/>
            </w:tcMar>
          </w:tcPr>
          <w:p>
            <w:pPr>
              <w:spacing w:after="0"/>
            </w:pPr>
            <w:r>
              <w:rPr>
                <w:rFonts w:ascii="Arial" w:cs="Arial" w:eastAsia="Arial" w:hAnsi="Arial"/>
                <w:b w:val="false"/>
                <w:bCs w:val="false"/>
                <w:i w:val="false"/>
                <w:iCs w:val="false"/>
                <w:color w:val="1A1A1A"/>
                <w:sz w:val="20"/>
                <w:szCs w:val="20"/>
              </w:rPr>
              <w:t xml:space="preserve">Replace blank skeletons with animated shimmer loaders. Add a 5-second timeout fallback with a 'Taking longer than usual — tap to retry' message and a retry button. This is table stakes for consumer apps (CRED, Zepto, Swiggy all do this) and requires minimal engineering effort.</w:t>
            </w:r>
          </w:p>
        </w:tc>
      </w:tr>
      <w:tr>
        <w:tc>
          <w:tcPr>
            <w:tcW w:type="dxa" w:w="9360"/>
            <w:gridSpan w:val="2"/>
            <w:tcBorders>
              <w:top w:val="single" w:color="00B5A3" w:sz="6"/>
              <w:left w:val="none" w:color="FFFFFF" w:sz="0"/>
              <w:bottom w:val="none" w:color="FFFFFF" w:sz="0"/>
              <w:right w:val="none" w:color="FFFFFF" w:sz="0"/>
            </w:tcBorders>
            <w:shd w:fill="F4F4F4" w:val="clear"/>
            <w:tcMar>
              <w:top w:type="dxa" w:w="160"/>
              <w:left w:type="dxa" w:w="200"/>
              <w:bottom w:type="dxa" w:w="200"/>
              <w:right w:type="dxa" w:w="200"/>
            </w:tcMar>
          </w:tcPr>
          <w:p>
            <w:pPr>
              <w:spacing w:after="120"/>
            </w:pPr>
            <w:r>
              <w:rPr>
                <w:rFonts w:ascii="Arial" w:cs="Arial" w:eastAsia="Arial" w:hAnsi="Arial"/>
                <w:b/>
                <w:bCs/>
                <w:i w:val="false"/>
                <w:iCs w:val="false"/>
                <w:color w:val="555555"/>
                <w:sz w:val="18"/>
                <w:szCs w:val="18"/>
              </w:rPr>
              <w:t xml:space="preserve">📸  Screenshot Evidence</w:t>
            </w:r>
          </w:p>
          <w:p>
            <w:pPr>
              <w:spacing w:after="0"/>
              <w:jc w:val="left"/>
            </w:pPr>
            <w:r>
              <w:drawing>
                <wp:inline distT="0" distB="0" distL="0" distR="0">
                  <wp:extent cx="1047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2333625"/>
                          </a:xfrm>
                          <a:prstGeom prst="rect">
                            <a:avLst/>
                          </a:prstGeom>
                        </pic:spPr>
                      </pic:pic>
                    </a:graphicData>
                  </a:graphic>
                </wp:inline>
              </w:drawing>
            </w:r>
            <w:r>
              <w:t xml:space="preserve">    </w:t>
            </w:r>
            <w:r>
              <w:drawing>
                <wp:inline distT="0" distB="0" distL="0" distR="0">
                  <wp:extent cx="1047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2333625"/>
                          </a:xfrm>
                          <a:prstGeom prst="rect">
                            <a:avLst/>
                          </a:prstGeom>
                        </pic:spPr>
                      </pic:pic>
                    </a:graphicData>
                  </a:graphic>
                </wp:inline>
              </w:drawing>
            </w:r>
          </w:p>
        </w:tc>
      </w:tr>
    </w:tbl>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9360"/>
            <w:gridSpan w:val="2"/>
            <w:tcBorders>
              <w:top w:val="none" w:color="FFFFFF" w:sz="0"/>
              <w:left w:val="none" w:color="FFFFFF" w:sz="0"/>
              <w:bottom w:val="none" w:color="FFFFFF" w:sz="0"/>
              <w:right w:val="none" w:color="FFFFFF" w:sz="0"/>
            </w:tcBorders>
            <w:shd w:fill="003D36" w:val="clear"/>
            <w:tcMar>
              <w:top w:type="dxa" w:w="140"/>
              <w:left w:type="dxa" w:w="200"/>
              <w:bottom w:type="dxa" w:w="140"/>
              <w:right w:type="dxa" w:w="200"/>
            </w:tcMar>
          </w:tcPr>
          <w:p>
            <w:r>
              <w:rPr>
                <w:rFonts w:ascii="Arial" w:cs="Arial" w:eastAsia="Arial" w:hAnsi="Arial"/>
                <w:b/>
                <w:bCs/>
                <w:i w:val="false"/>
                <w:iCs w:val="false"/>
                <w:color w:val="FFFFFF"/>
                <w:sz w:val="26"/>
                <w:szCs w:val="26"/>
              </w:rPr>
              <w:t xml:space="preserve">#4   </w:t>
            </w:r>
            <w:r>
              <w:rPr>
                <w:rFonts w:ascii="Arial" w:cs="Arial" w:eastAsia="Arial" w:hAnsi="Arial"/>
                <w:b/>
                <w:bCs/>
                <w:i w:val="false"/>
                <w:iCs w:val="false"/>
                <w:color w:val="00B5A3"/>
                <w:sz w:val="26"/>
                <w:szCs w:val="26"/>
              </w:rPr>
              <w:t xml:space="preserve">GTM / ICP — Home screen serves everyone, serves no one</w:t>
            </w:r>
          </w:p>
        </w:tc>
      </w:tr>
      <w:tr>
        <w:tc>
          <w:tcPr>
            <w:tcW w:type="dxa" w:w="1700"/>
            <w:tcBorders>
              <w:top w:val="single" w:color="DDDDDD" w:sz="1"/>
              <w:left w:val="single" w:color="DDDDDD" w:sz="1"/>
              <w:bottom w:val="single" w:color="DDDDDD" w:sz="1"/>
              <w:right w:val="single" w:color="DDDDDD" w:sz="1"/>
            </w:tcBorders>
            <w:shd w:fill="E8FAF7" w:val="clear"/>
            <w:tcMar>
              <w:top w:type="dxa" w:w="120"/>
              <w:left w:type="dxa" w:w="180"/>
              <w:bottom w:type="dxa" w:w="120"/>
              <w:right w:type="dxa" w:w="180"/>
            </w:tcMar>
          </w:tcPr>
          <w:p>
            <w:r>
              <w:rPr>
                <w:rFonts w:ascii="Arial" w:cs="Arial" w:eastAsia="Arial" w:hAnsi="Arial"/>
                <w:b/>
                <w:bCs/>
                <w:i w:val="false"/>
                <w:iCs w:val="false"/>
                <w:color w:val="00B5A3"/>
                <w:sz w:val="20"/>
                <w:szCs w:val="20"/>
              </w:rPr>
              <w:t xml:space="preserve">(a) Observed</w:t>
            </w:r>
          </w:p>
        </w:tc>
        <w:tc>
          <w:tcPr>
            <w:tcW w:type="dxa" w:w="7660"/>
            <w:tcBorders>
              <w:top w:val="single" w:color="DDDDDD" w:sz="1"/>
              <w:left w:val="single" w:color="DDDDDD" w:sz="1"/>
              <w:bottom w:val="single" w:color="DDDDDD" w:sz="1"/>
              <w:right w:val="single" w:color="DDDDDD" w:sz="1"/>
            </w:tcBorders>
            <w:tcMar>
              <w:top w:type="dxa" w:w="120"/>
              <w:left w:type="dxa" w:w="180"/>
              <w:bottom w:type="dxa" w:w="120"/>
              <w:right w:type="dxa" w:w="180"/>
            </w:tcMar>
          </w:tcPr>
          <w:p>
            <w:pPr>
              <w:spacing w:after="0"/>
            </w:pPr>
            <w:r>
              <w:rPr>
                <w:rFonts w:ascii="Arial" w:cs="Arial" w:eastAsia="Arial" w:hAnsi="Arial"/>
                <w:b w:val="false"/>
                <w:bCs w:val="false"/>
                <w:i w:val="false"/>
                <w:iCs w:val="false"/>
                <w:color w:val="1A1A1A"/>
                <w:sz w:val="20"/>
                <w:szCs w:val="20"/>
              </w:rPr>
              <w:t xml:space="preserve">The Home screen above the fold shows: a greeting, Events (Premium), Add Subscriptions, Sell Products (Premium), Quick Payments, a credit card upsell banner, and Your Subscriptions — all at once. 'Sell Products' was especially jarring for a user who came to manage subscriptions.</w:t>
            </w:r>
          </w:p>
        </w:tc>
      </w:tr>
      <w:tr>
        <w:tc>
          <w:tcPr>
            <w:tcW w:type="dxa" w:w="1700"/>
            <w:tcBorders>
              <w:top w:val="single" w:color="DDDDDD" w:sz="1"/>
              <w:left w:val="single" w:color="DDDDDD" w:sz="1"/>
              <w:bottom w:val="single" w:color="DDDDDD" w:sz="1"/>
              <w:right w:val="single" w:color="DDDDDD" w:sz="1"/>
            </w:tcBorders>
            <w:shd w:fill="E8FAF7" w:val="clear"/>
            <w:tcMar>
              <w:top w:type="dxa" w:w="120"/>
              <w:left w:type="dxa" w:w="180"/>
              <w:bottom w:type="dxa" w:w="120"/>
              <w:right w:type="dxa" w:w="180"/>
            </w:tcMar>
          </w:tcPr>
          <w:p>
            <w:r>
              <w:rPr>
                <w:rFonts w:ascii="Arial" w:cs="Arial" w:eastAsia="Arial" w:hAnsi="Arial"/>
                <w:b/>
                <w:bCs/>
                <w:i w:val="false"/>
                <w:iCs w:val="false"/>
                <w:color w:val="00B5A3"/>
                <w:sz w:val="20"/>
                <w:szCs w:val="20"/>
              </w:rPr>
              <w:t xml:space="preserve">(b) Problem</w:t>
            </w:r>
          </w:p>
        </w:tc>
        <w:tc>
          <w:tcPr>
            <w:tcW w:type="dxa" w:w="7660"/>
            <w:tcBorders>
              <w:top w:val="single" w:color="DDDDDD" w:sz="1"/>
              <w:left w:val="single" w:color="DDDDDD" w:sz="1"/>
              <w:bottom w:val="single" w:color="DDDDDD" w:sz="1"/>
              <w:right w:val="single" w:color="DDDDDD" w:sz="1"/>
            </w:tcBorders>
            <w:tcMar>
              <w:top w:type="dxa" w:w="120"/>
              <w:left w:type="dxa" w:w="180"/>
              <w:bottom w:type="dxa" w:w="120"/>
              <w:right w:type="dxa" w:w="180"/>
            </w:tcMar>
          </w:tcPr>
          <w:p>
            <w:pPr>
              <w:spacing w:after="0"/>
            </w:pPr>
            <w:r>
              <w:rPr>
                <w:rFonts w:ascii="Arial" w:cs="Arial" w:eastAsia="Arial" w:hAnsi="Arial"/>
                <w:b w:val="false"/>
                <w:bCs w:val="false"/>
                <w:i w:val="false"/>
                <w:iCs w:val="false"/>
                <w:color w:val="1A1A1A"/>
                <w:sz w:val="20"/>
                <w:szCs w:val="20"/>
              </w:rPr>
              <w:t xml:space="preserve">The home screen tries to serve subscribers, vendors, and premium users simultaneously — diluting the experience for the core ICP: a young Indian consumer managing 3–5 subscriptions and splitting costs with friends. When everything is highlighted, nothing is. Worse, 'Sell Products' signals the app doesn't know what it wants to be, eroding confidence.</w:t>
            </w:r>
          </w:p>
        </w:tc>
      </w:tr>
      <w:tr>
        <w:tc>
          <w:tcPr>
            <w:tcW w:type="dxa" w:w="1700"/>
            <w:tcBorders>
              <w:top w:val="single" w:color="DDDDDD" w:sz="1"/>
              <w:left w:val="single" w:color="DDDDDD" w:sz="1"/>
              <w:bottom w:val="single" w:color="DDDDDD" w:sz="1"/>
              <w:right w:val="single" w:color="DDDDDD" w:sz="1"/>
            </w:tcBorders>
            <w:shd w:fill="E8FAF7" w:val="clear"/>
            <w:tcMar>
              <w:top w:type="dxa" w:w="120"/>
              <w:left w:type="dxa" w:w="180"/>
              <w:bottom w:type="dxa" w:w="120"/>
              <w:right w:type="dxa" w:w="180"/>
            </w:tcMar>
          </w:tcPr>
          <w:p>
            <w:r>
              <w:rPr>
                <w:rFonts w:ascii="Arial" w:cs="Arial" w:eastAsia="Arial" w:hAnsi="Arial"/>
                <w:b/>
                <w:bCs/>
                <w:i w:val="false"/>
                <w:iCs w:val="false"/>
                <w:color w:val="00B5A3"/>
                <w:sz w:val="20"/>
                <w:szCs w:val="20"/>
              </w:rPr>
              <w:t xml:space="preserve">(c) Ship Instead</w:t>
            </w:r>
          </w:p>
        </w:tc>
        <w:tc>
          <w:tcPr>
            <w:tcW w:type="dxa" w:w="7660"/>
            <w:tcBorders>
              <w:top w:val="single" w:color="DDDDDD" w:sz="1"/>
              <w:left w:val="single" w:color="DDDDDD" w:sz="1"/>
              <w:bottom w:val="single" w:color="DDDDDD" w:sz="1"/>
              <w:right w:val="single" w:color="DDDDDD" w:sz="1"/>
            </w:tcBorders>
            <w:tcMar>
              <w:top w:type="dxa" w:w="120"/>
              <w:left w:type="dxa" w:w="180"/>
              <w:bottom w:type="dxa" w:w="120"/>
              <w:right w:type="dxa" w:w="180"/>
            </w:tcMar>
          </w:tcPr>
          <w:p>
            <w:pPr>
              <w:spacing w:after="0"/>
            </w:pPr>
            <w:r>
              <w:rPr>
                <w:rFonts w:ascii="Arial" w:cs="Arial" w:eastAsia="Arial" w:hAnsi="Arial"/>
                <w:b w:val="false"/>
                <w:bCs w:val="false"/>
                <w:i w:val="false"/>
                <w:iCs w:val="false"/>
                <w:color w:val="1A1A1A"/>
                <w:sz w:val="20"/>
                <w:szCs w:val="20"/>
              </w:rPr>
              <w:t xml:space="preserve">Personalise Home by user type. For a new standard user: show (1) Add first subscription prompt, (2) Join a group and save CTA with a real savings example, (3) Quick Payments. Remove 'Sell Products' from non-vendor accounts entirely. Surface premium features only via a dedicated Upgrade tab — not as noise on the main screen.</w:t>
            </w:r>
          </w:p>
        </w:tc>
      </w:tr>
      <w:tr>
        <w:tc>
          <w:tcPr>
            <w:tcW w:type="dxa" w:w="9360"/>
            <w:gridSpan w:val="2"/>
            <w:tcBorders>
              <w:top w:val="single" w:color="00B5A3" w:sz="6"/>
              <w:left w:val="none" w:color="FFFFFF" w:sz="0"/>
              <w:bottom w:val="none" w:color="FFFFFF" w:sz="0"/>
              <w:right w:val="none" w:color="FFFFFF" w:sz="0"/>
            </w:tcBorders>
            <w:shd w:fill="F4F4F4" w:val="clear"/>
            <w:tcMar>
              <w:top w:type="dxa" w:w="160"/>
              <w:left w:type="dxa" w:w="200"/>
              <w:bottom w:type="dxa" w:w="200"/>
              <w:right w:type="dxa" w:w="200"/>
            </w:tcMar>
          </w:tcPr>
          <w:p>
            <w:pPr>
              <w:spacing w:after="120"/>
            </w:pPr>
            <w:r>
              <w:rPr>
                <w:rFonts w:ascii="Arial" w:cs="Arial" w:eastAsia="Arial" w:hAnsi="Arial"/>
                <w:b/>
                <w:bCs/>
                <w:i w:val="false"/>
                <w:iCs w:val="false"/>
                <w:color w:val="555555"/>
                <w:sz w:val="18"/>
                <w:szCs w:val="18"/>
              </w:rPr>
              <w:t xml:space="preserve">📸  Screenshot Evidence</w:t>
            </w:r>
          </w:p>
          <w:p>
            <w:pPr>
              <w:spacing w:after="0"/>
              <w:jc w:val="left"/>
            </w:pPr>
            <w:r>
              <w:drawing>
                <wp:inline distT="0" distB="0" distL="0" distR="0">
                  <wp:extent cx="1047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2333625"/>
                          </a:xfrm>
                          <a:prstGeom prst="rect">
                            <a:avLst/>
                          </a:prstGeom>
                        </pic:spPr>
                      </pic:pic>
                    </a:graphicData>
                  </a:graphic>
                </wp:inline>
              </w:drawing>
            </w:r>
          </w:p>
        </w:tc>
      </w:tr>
    </w:tbl>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9360"/>
            <w:gridSpan w:val="2"/>
            <w:tcBorders>
              <w:top w:val="none" w:color="FFFFFF" w:sz="0"/>
              <w:left w:val="none" w:color="FFFFFF" w:sz="0"/>
              <w:bottom w:val="none" w:color="FFFFFF" w:sz="0"/>
              <w:right w:val="none" w:color="FFFFFF" w:sz="0"/>
            </w:tcBorders>
            <w:shd w:fill="003D36" w:val="clear"/>
            <w:tcMar>
              <w:top w:type="dxa" w:w="140"/>
              <w:left w:type="dxa" w:w="200"/>
              <w:bottom w:type="dxa" w:w="140"/>
              <w:right w:type="dxa" w:w="200"/>
            </w:tcMar>
          </w:tcPr>
          <w:p>
            <w:r>
              <w:rPr>
                <w:rFonts w:ascii="Arial" w:cs="Arial" w:eastAsia="Arial" w:hAnsi="Arial"/>
                <w:b/>
                <w:bCs/>
                <w:i w:val="false"/>
                <w:iCs w:val="false"/>
                <w:color w:val="FFFFFF"/>
                <w:sz w:val="26"/>
                <w:szCs w:val="26"/>
              </w:rPr>
              <w:t xml:space="preserve">#5   </w:t>
            </w:r>
            <w:r>
              <w:rPr>
                <w:rFonts w:ascii="Arial" w:cs="Arial" w:eastAsia="Arial" w:hAnsi="Arial"/>
                <w:b/>
                <w:bCs/>
                <w:i w:val="false"/>
                <w:iCs w:val="false"/>
                <w:color w:val="00B5A3"/>
                <w:sz w:val="26"/>
                <w:szCs w:val="26"/>
              </w:rPr>
              <w:t xml:space="preserve">Competitor / Collaboration — Gift card discounts too weak to change behaviour</w:t>
            </w:r>
          </w:p>
        </w:tc>
      </w:tr>
      <w:tr>
        <w:tc>
          <w:tcPr>
            <w:tcW w:type="dxa" w:w="1700"/>
            <w:tcBorders>
              <w:top w:val="single" w:color="DDDDDD" w:sz="1"/>
              <w:left w:val="single" w:color="DDDDDD" w:sz="1"/>
              <w:bottom w:val="single" w:color="DDDDDD" w:sz="1"/>
              <w:right w:val="single" w:color="DDDDDD" w:sz="1"/>
            </w:tcBorders>
            <w:shd w:fill="E8FAF7" w:val="clear"/>
            <w:tcMar>
              <w:top w:type="dxa" w:w="120"/>
              <w:left w:type="dxa" w:w="180"/>
              <w:bottom w:type="dxa" w:w="120"/>
              <w:right w:type="dxa" w:w="180"/>
            </w:tcMar>
          </w:tcPr>
          <w:p>
            <w:r>
              <w:rPr>
                <w:rFonts w:ascii="Arial" w:cs="Arial" w:eastAsia="Arial" w:hAnsi="Arial"/>
                <w:b/>
                <w:bCs/>
                <w:i w:val="false"/>
                <w:iCs w:val="false"/>
                <w:color w:val="00B5A3"/>
                <w:sz w:val="20"/>
                <w:szCs w:val="20"/>
              </w:rPr>
              <w:t xml:space="preserve">(a) Observed</w:t>
            </w:r>
          </w:p>
        </w:tc>
        <w:tc>
          <w:tcPr>
            <w:tcW w:type="dxa" w:w="7660"/>
            <w:tcBorders>
              <w:top w:val="single" w:color="DDDDDD" w:sz="1"/>
              <w:left w:val="single" w:color="DDDDDD" w:sz="1"/>
              <w:bottom w:val="single" w:color="DDDDDD" w:sz="1"/>
              <w:right w:val="single" w:color="DDDDDD" w:sz="1"/>
            </w:tcBorders>
            <w:tcMar>
              <w:top w:type="dxa" w:w="120"/>
              <w:left w:type="dxa" w:w="180"/>
              <w:bottom w:type="dxa" w:w="120"/>
              <w:right w:type="dxa" w:w="180"/>
            </w:tcMar>
          </w:tcPr>
          <w:p>
            <w:pPr>
              <w:spacing w:after="0"/>
            </w:pPr>
            <w:r>
              <w:rPr>
                <w:rFonts w:ascii="Arial" w:cs="Arial" w:eastAsia="Arial" w:hAnsi="Arial"/>
                <w:b w:val="false"/>
                <w:bCs w:val="false"/>
                <w:i w:val="false"/>
                <w:iCs w:val="false"/>
                <w:color w:val="1A1A1A"/>
                <w:sz w:val="20"/>
                <w:szCs w:val="20"/>
              </w:rPr>
              <w:t xml:space="preserve">The Gift Cards / Explore section shows: Flipkart ₹196 for ₹200 (1.5% off), Croma ₹981 for ₹1000 (2% off), PhonePe voucher ₹99.65 for ₹100 (just 0.35% off). These are marginal savings a user would never notice.</w:t>
            </w:r>
          </w:p>
        </w:tc>
      </w:tr>
      <w:tr>
        <w:tc>
          <w:tcPr>
            <w:tcW w:type="dxa" w:w="1700"/>
            <w:tcBorders>
              <w:top w:val="single" w:color="DDDDDD" w:sz="1"/>
              <w:left w:val="single" w:color="DDDDDD" w:sz="1"/>
              <w:bottom w:val="single" w:color="DDDDDD" w:sz="1"/>
              <w:right w:val="single" w:color="DDDDDD" w:sz="1"/>
            </w:tcBorders>
            <w:shd w:fill="E8FAF7" w:val="clear"/>
            <w:tcMar>
              <w:top w:type="dxa" w:w="120"/>
              <w:left w:type="dxa" w:w="180"/>
              <w:bottom w:type="dxa" w:w="120"/>
              <w:right w:type="dxa" w:w="180"/>
            </w:tcMar>
          </w:tcPr>
          <w:p>
            <w:r>
              <w:rPr>
                <w:rFonts w:ascii="Arial" w:cs="Arial" w:eastAsia="Arial" w:hAnsi="Arial"/>
                <w:b/>
                <w:bCs/>
                <w:i w:val="false"/>
                <w:iCs w:val="false"/>
                <w:color w:val="00B5A3"/>
                <w:sz w:val="20"/>
                <w:szCs w:val="20"/>
              </w:rPr>
              <w:t xml:space="preserve">(b) Problem</w:t>
            </w:r>
          </w:p>
        </w:tc>
        <w:tc>
          <w:tcPr>
            <w:tcW w:type="dxa" w:w="7660"/>
            <w:tcBorders>
              <w:top w:val="single" w:color="DDDDDD" w:sz="1"/>
              <w:left w:val="single" w:color="DDDDDD" w:sz="1"/>
              <w:bottom w:val="single" w:color="DDDDDD" w:sz="1"/>
              <w:right w:val="single" w:color="DDDDDD" w:sz="1"/>
            </w:tcBorders>
            <w:tcMar>
              <w:top w:type="dxa" w:w="120"/>
              <w:left w:type="dxa" w:w="180"/>
              <w:bottom w:type="dxa" w:w="120"/>
              <w:right w:type="dxa" w:w="180"/>
            </w:tcMar>
          </w:tcPr>
          <w:p>
            <w:pPr>
              <w:spacing w:after="0"/>
            </w:pPr>
            <w:r>
              <w:rPr>
                <w:rFonts w:ascii="Arial" w:cs="Arial" w:eastAsia="Arial" w:hAnsi="Arial"/>
                <w:b w:val="false"/>
                <w:bCs w:val="false"/>
                <w:i w:val="false"/>
                <w:iCs w:val="false"/>
                <w:color w:val="1A1A1A"/>
                <w:sz w:val="20"/>
                <w:szCs w:val="20"/>
              </w:rPr>
              <w:t xml:space="preserve">Subspace's marketplace competes directly with CRED Coins, Amazon Pay cashback, and credit card rewards — all delivering 2–5%+ effective returns. A 0.35% discount gives users zero motivation to route purchases through Subspace. Weak savings = one-time visit, no retention. This surface could be a high-engagement daily driver but currently it's wasted real estate.</w:t>
            </w:r>
          </w:p>
        </w:tc>
      </w:tr>
      <w:tr>
        <w:tc>
          <w:tcPr>
            <w:tcW w:type="dxa" w:w="1700"/>
            <w:tcBorders>
              <w:top w:val="single" w:color="DDDDDD" w:sz="1"/>
              <w:left w:val="single" w:color="DDDDDD" w:sz="1"/>
              <w:bottom w:val="single" w:color="DDDDDD" w:sz="1"/>
              <w:right w:val="single" w:color="DDDDDD" w:sz="1"/>
            </w:tcBorders>
            <w:shd w:fill="E8FAF7" w:val="clear"/>
            <w:tcMar>
              <w:top w:type="dxa" w:w="120"/>
              <w:left w:type="dxa" w:w="180"/>
              <w:bottom w:type="dxa" w:w="120"/>
              <w:right w:type="dxa" w:w="180"/>
            </w:tcMar>
          </w:tcPr>
          <w:p>
            <w:r>
              <w:rPr>
                <w:rFonts w:ascii="Arial" w:cs="Arial" w:eastAsia="Arial" w:hAnsi="Arial"/>
                <w:b/>
                <w:bCs/>
                <w:i w:val="false"/>
                <w:iCs w:val="false"/>
                <w:color w:val="00B5A3"/>
                <w:sz w:val="20"/>
                <w:szCs w:val="20"/>
              </w:rPr>
              <w:t xml:space="preserve">(c) Ship Instead</w:t>
            </w:r>
          </w:p>
        </w:tc>
        <w:tc>
          <w:tcPr>
            <w:tcW w:type="dxa" w:w="7660"/>
            <w:tcBorders>
              <w:top w:val="single" w:color="DDDDDD" w:sz="1"/>
              <w:left w:val="single" w:color="DDDDDD" w:sz="1"/>
              <w:bottom w:val="single" w:color="DDDDDD" w:sz="1"/>
              <w:right w:val="single" w:color="DDDDDD" w:sz="1"/>
            </w:tcBorders>
            <w:tcMar>
              <w:top w:type="dxa" w:w="120"/>
              <w:left w:type="dxa" w:w="180"/>
              <w:bottom w:type="dxa" w:w="120"/>
              <w:right w:type="dxa" w:w="180"/>
            </w:tcMar>
          </w:tcPr>
          <w:p>
            <w:pPr>
              <w:spacing w:after="0"/>
            </w:pPr>
            <w:r>
              <w:rPr>
                <w:rFonts w:ascii="Arial" w:cs="Arial" w:eastAsia="Arial" w:hAnsi="Arial"/>
                <w:b w:val="false"/>
                <w:bCs w:val="false"/>
                <w:i w:val="false"/>
                <w:iCs w:val="false"/>
                <w:color w:val="1A1A1A"/>
                <w:sz w:val="20"/>
                <w:szCs w:val="20"/>
              </w:rPr>
              <w:t xml:space="preserve">Negotiate exclusive 5–10% discounts with 3–5 high-frequency brands (Swiggy, Zomato, BookMyShow, MakeMyTrip) as a 'Subspace Members Only' benefit — this is a clear partnership opportunity that competitors can't easily replicate. Layer in a loyalty mechanic: 'Spend ₹500 in gift cards this month → earn ₹50 Subspace credits', creating a return-visit loop and growing GMV.</w:t>
            </w:r>
          </w:p>
        </w:tc>
      </w:tr>
      <w:tr>
        <w:tc>
          <w:tcPr>
            <w:tcW w:type="dxa" w:w="9360"/>
            <w:gridSpan w:val="2"/>
            <w:tcBorders>
              <w:top w:val="single" w:color="00B5A3" w:sz="6"/>
              <w:left w:val="none" w:color="FFFFFF" w:sz="0"/>
              <w:bottom w:val="none" w:color="FFFFFF" w:sz="0"/>
              <w:right w:val="none" w:color="FFFFFF" w:sz="0"/>
            </w:tcBorders>
            <w:shd w:fill="F4F4F4" w:val="clear"/>
            <w:tcMar>
              <w:top w:type="dxa" w:w="160"/>
              <w:left w:type="dxa" w:w="200"/>
              <w:bottom w:type="dxa" w:w="200"/>
              <w:right w:type="dxa" w:w="200"/>
            </w:tcMar>
          </w:tcPr>
          <w:p>
            <w:pPr>
              <w:spacing w:after="120"/>
            </w:pPr>
            <w:r>
              <w:rPr>
                <w:rFonts w:ascii="Arial" w:cs="Arial" w:eastAsia="Arial" w:hAnsi="Arial"/>
                <w:b/>
                <w:bCs/>
                <w:i w:val="false"/>
                <w:iCs w:val="false"/>
                <w:color w:val="555555"/>
                <w:sz w:val="18"/>
                <w:szCs w:val="18"/>
              </w:rPr>
              <w:t xml:space="preserve">📸  Screenshot Evidence</w:t>
            </w:r>
          </w:p>
          <w:p>
            <w:pPr>
              <w:spacing w:after="0"/>
              <w:jc w:val="left"/>
            </w:pPr>
            <w:r>
              <w:drawing>
                <wp:inline distT="0" distB="0" distL="0" distR="0">
                  <wp:extent cx="1047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2333625"/>
                          </a:xfrm>
                          <a:prstGeom prst="rect">
                            <a:avLst/>
                          </a:prstGeom>
                        </pic:spPr>
                      </pic:pic>
                    </a:graphicData>
                  </a:graphic>
                </wp:inline>
              </w:drawing>
            </w:r>
          </w:p>
        </w:tc>
      </w:tr>
    </w:tbl>
    <w:p>
      <w:pPr>
        <w:spacing w:after="280"/>
      </w:pPr>
      <w:r>
        <w:t xml:space="preserve"/>
      </w:r>
    </w:p>
    <w:p>
      <w:pPr>
        <w:pBdr>
          <w:bottom w:val="single" w:color="EEEEEE" w:sz="6" w:space="1"/>
        </w:pBdr>
        <w:spacing w:after="200"/>
      </w:pPr>
      <w:r>
        <w:t xml:space="preserve"/>
      </w:r>
    </w:p>
    <w:p>
      <w:pPr>
        <w:spacing w:after="80"/>
        <w:jc w:val="left"/>
      </w:pPr>
      <w:r>
        <w:rPr>
          <w:rFonts w:ascii="Arial" w:cs="Arial" w:eastAsia="Arial" w:hAnsi="Arial"/>
          <w:b/>
          <w:bCs/>
          <w:i w:val="false"/>
          <w:iCs w:val="false"/>
          <w:color w:val="1A1A1A"/>
          <w:sz w:val="26"/>
          <w:szCs w:val="26"/>
        </w:rPr>
        <w:t xml:space="preserve">Prioritisation</w:t>
      </w:r>
    </w:p>
    <w:p>
      <w:pPr>
        <w:spacing w:after="100"/>
        <w:jc w:val="left"/>
      </w:pPr>
      <w:r>
        <w:rPr>
          <w:rFonts w:ascii="Arial" w:cs="Arial" w:eastAsia="Arial" w:hAnsi="Arial"/>
          <w:b w:val="false"/>
          <w:bCs w:val="false"/>
          <w:i w:val="false"/>
          <w:iCs w:val="false"/>
          <w:color w:val="555555"/>
          <w:sz w:val="20"/>
          <w:szCs w:val="20"/>
        </w:rPr>
        <w:t xml:space="preserve">If I were shipping these immediately, the order would be: (2) Auto-detection — core value unlock and the biggest retention driver. (3) Loading states — minimal engineering effort, outsized trust impact. (1) Onboarding — stops Day-1 drop-off. (4) Dashboard focus — reduces ICP confusion. (5) Gift card partnerships — longer-term BD work but highest strategic upside.</w:t>
      </w:r>
    </w:p>
    <w:p>
      <w:pPr>
        <w:spacing w:after="40"/>
      </w:pPr>
      <w:r>
        <w:t xml:space="preserve"/>
      </w:r>
    </w:p>
    <w:p>
      <w:pPr>
        <w:spacing w:after="120"/>
        <w:jc w:val="left"/>
      </w:pPr>
      <w:r>
        <w:rPr>
          <w:rFonts w:ascii="Arial" w:cs="Arial" w:eastAsia="Arial" w:hAnsi="Arial"/>
          <w:b w:val="false"/>
          <w:bCs w:val="false"/>
          <w:i/>
          <w:iCs/>
          <w:color w:val="555555"/>
          <w:sz w:val="18"/>
          <w:szCs w:val="18"/>
        </w:rPr>
        <w:t xml:space="preserve">All observations are from direct usage of the Subspace Android app on 31 May 2026.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80" w:before="0"/>
      <w:outlineLvl w:val="0"/>
    </w:pPr>
    <w:rPr>
      <w:rFonts w:ascii="Arial" w:cs="Arial" w:eastAsia="Arial" w:hAnsi="Arial"/>
      <w:b/>
      <w:bCs/>
      <w:color w:val="00B5A3"/>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ce46a70d1594373352492a0fd6159b24a989fa3.jpg"/><Relationship Id="rId8" Type="http://schemas.openxmlformats.org/officeDocument/2006/relationships/image" Target="media/66669aaad9b00c7f2117a847aea06fedde143f71.jpg"/><Relationship Id="rId9" Type="http://schemas.openxmlformats.org/officeDocument/2006/relationships/image" Target="media/edfc9704c0dcfcc7badbc47a7028d4474f83b132.jpg"/><Relationship Id="rId10" Type="http://schemas.openxmlformats.org/officeDocument/2006/relationships/image" Target="media/9e4452baa73b3d87cb9307bb2da75860b4d158ca.jpg"/><Relationship Id="rId11" Type="http://schemas.openxmlformats.org/officeDocument/2006/relationships/image" Target="media/fb16d5f8e312326cd0d9d882c7e6da79273d2ff3.jpg"/><Relationship Id="rId12" Type="http://schemas.openxmlformats.org/officeDocument/2006/relationships/image" Target="media/a61bb955d76cb6d9f140363d27a352732e7cfd4e.jpg"/><Relationship Id="rId13" Type="http://schemas.openxmlformats.org/officeDocument/2006/relationships/image" Target="media/7d34208fc80519ed7b1ead4c879005aeefa14bde.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2026-05-31T09:05:32.762Z</dcterms:created>
  <dcterms:modified xsi:type="dcterms:W3CDTF">2026-05-31T09:05:32.772Z</dcterms:modified>
</cp:coreProperties>
</file>

<file path=docProps/custom.xml><?xml version="1.0" encoding="utf-8"?>
<Properties xmlns="http://schemas.openxmlformats.org/officeDocument/2006/custom-properties" xmlns:vt="http://schemas.openxmlformats.org/officeDocument/2006/docPropsVTypes"/>
</file>