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Deep Learning Based Alzheimer’s Disease Detection Using Brain MRI Images</w:t>
      </w:r>
    </w:p>
    <w:p>
      <w:pPr>
        <w:spacing w:after="20"/>
        <w:jc w:val="center"/>
      </w:pPr>
      <w:r>
        <w:rPr>
          <w:rFonts w:ascii="Times New Roman" w:cs="Times New Roman" w:eastAsia="Times New Roman" w:hAnsi="Times New Roman"/>
          <w:b/>
          <w:bCs/>
          <w:sz w:val="20"/>
          <w:szCs w:val="20"/>
        </w:rPr>
        <w:t xml:space="preserve">Deepika G, Shashikumar D R, Rajath B G</w:t>
      </w:r>
    </w:p>
    <w:p>
      <w:pPr>
        <w:spacing w:after="20"/>
        <w:jc w:val="center"/>
      </w:pPr>
      <w:r>
        <w:rPr>
          <w:rFonts w:ascii="Times New Roman" w:cs="Times New Roman" w:eastAsia="Times New Roman" w:hAnsi="Times New Roman"/>
          <w:i/>
          <w:iCs/>
          <w:sz w:val="18"/>
          <w:szCs w:val="18"/>
        </w:rPr>
        <w:t xml:space="preserve">Computer Science and Engineering, Sai Vidya Institute of Technology, Bengaluru, India</w:t>
      </w:r>
    </w:p>
    <w:p>
      <w:pPr>
        <w:spacing w:after="160"/>
        <w:jc w:val="center"/>
      </w:pPr>
      <w:r>
        <w:rPr>
          <w:rFonts w:ascii="Times New Roman" w:cs="Times New Roman" w:eastAsia="Times New Roman" w:hAnsi="Times New Roman"/>
          <w:i/>
          <w:iCs/>
          <w:sz w:val="18"/>
          <w:szCs w:val="18"/>
        </w:rPr>
        <w:t xml:space="preserve">deepika.g@saividya.ac.in | shashikumar@saividya.ac.in | rajathbg.23cs@saividya.ac.in</w:t>
      </w:r>
    </w:p>
    <w:p>
      <w:pPr>
        <w:spacing w:after="20"/>
        <w:jc w:val="center"/>
      </w:pPr>
      <w:r>
        <w:rPr>
          <w:rFonts w:ascii="Times New Roman" w:cs="Times New Roman" w:eastAsia="Times New Roman" w:hAnsi="Times New Roman"/>
          <w:b/>
          <w:bCs/>
          <w:sz w:val="20"/>
          <w:szCs w:val="20"/>
        </w:rPr>
        <w:t xml:space="preserve">Nishanth R, Rohan Kantharaj D, Pruthviraj N</w:t>
      </w:r>
    </w:p>
    <w:p>
      <w:pPr>
        <w:spacing w:after="20"/>
        <w:jc w:val="center"/>
      </w:pPr>
      <w:r>
        <w:rPr>
          <w:rFonts w:ascii="Times New Roman" w:cs="Times New Roman" w:eastAsia="Times New Roman" w:hAnsi="Times New Roman"/>
          <w:i/>
          <w:iCs/>
          <w:sz w:val="18"/>
          <w:szCs w:val="18"/>
        </w:rPr>
        <w:t xml:space="preserve">Computer Science and Engineering, Sai Vidya Institute of Technology, Bengaluru, India</w:t>
      </w:r>
    </w:p>
    <w:p>
      <w:pPr>
        <w:spacing w:after="200"/>
        <w:jc w:val="center"/>
      </w:pPr>
      <w:r>
        <w:rPr>
          <w:rFonts w:ascii="Times New Roman" w:cs="Times New Roman" w:eastAsia="Times New Roman" w:hAnsi="Times New Roman"/>
          <w:i/>
          <w:iCs/>
          <w:sz w:val="18"/>
          <w:szCs w:val="18"/>
        </w:rPr>
        <w:t xml:space="preserve">nishanthr.23cs@saividya.ac.in | rohankantharajd.23cs@saividya.ac.in | pruthvirajn.23cs@saividya.ac.in</w:t>
      </w:r>
    </w:p>
    <w:p>
      <w:pPr>
        <w:sectPr>
          <w:footerReference w:type="default" r:id="rId7"/>
          <w:type w:val="continuous"/>
          <w:pgSz w:w="12240" w:h="15840" w:orient="portrait"/>
          <w:pgMar w:top="1080" w:right="900" w:bottom="1080" w:left="900" w:header="708" w:footer="708" w:gutter="0"/>
          <w:pgNumType/>
          <w:cols w:space="0" w:num="1"/>
          <w:docGrid w:linePitch="360"/>
        </w:sectPr>
      </w:pPr>
    </w:p>
    <w:p>
      <w:pPr>
        <w:spacing w:after="120" w:line="252" w:lineRule="auto"/>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Alzheimer’s Disease (AD) is a progressive neurodegenerative disorder and the leading cause of dementia worldwide, affecting over 55 million people. Early and accurate detection is critical, yet conventional clinical diagnosis depends on time-consuming radiological interpretation of Brain MRI scans that is expensive and prone to inter-observer variability. This paper proposes a deep learning-based system for automated multi-class classification of Alzheimer’s Disease from Brain MRI images using ResNet50 with Transfer Learning. ResNet50 is a 50-layer deep Convolutional Neural Network that employs residual (skip) connections to overcome the vanishing gradient problem in very deep networks. Pretrained on ImageNet, the final classification layer is adapted for four Alzheimer’s stages: Non-Demented, Very Mild Demented, Mild Demented, and Moderate Demented. The pipeline includes MRI preprocessing, resizing, normalization, and data augmentation before feature extraction and multi-class classification. The trained model is deployed as a web-based prediction system that outputs the predicted Alzheimer’s stage along with a confidence score. This system is intended as an AI-assisted research and screening prototype and does not replace professional medical diagnosis.</w:t>
      </w:r>
    </w:p>
    <w:p>
      <w:pPr>
        <w:spacing w:after="200" w:line="252" w:lineRule="auto"/>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Alzheimer’s Disease, Deep Learning, ResNet50, Transfer Learning, Brain MRI, Convolutional Neural Network, Multi-class Classification, Image Preprocessing, Data Augmentation, Healthcare Informatics, Web Application, Confidence Score.</w:t>
      </w:r>
    </w:p>
    <w:p>
      <w:pPr>
        <w:keepNext/>
        <w:spacing w:after="120" w:before="200"/>
        <w:jc w:val="center"/>
      </w:pPr>
      <w:r>
        <w:rPr>
          <w:rFonts w:ascii="Times New Roman" w:cs="Times New Roman" w:eastAsia="Times New Roman" w:hAnsi="Times New Roman"/>
          <w:b/>
          <w:bCs/>
          <w:sz w:val="20"/>
          <w:szCs w:val="20"/>
        </w:rPr>
        <w:t xml:space="preserve">I. INTRODUCTION</w:t>
      </w:r>
    </w:p>
    <w:p>
      <w:pPr>
        <w:spacing w:after="120" w:line="252" w:lineRule="auto"/>
        <w:jc w:val="both"/>
      </w:pPr>
      <w:r>
        <w:rPr>
          <w:rFonts w:ascii="Times New Roman" w:cs="Times New Roman" w:eastAsia="Times New Roman" w:hAnsi="Times New Roman"/>
          <w:sz w:val="20"/>
          <w:szCs w:val="20"/>
        </w:rPr>
        <w:t xml:space="preserve">Alzheimer’s Disease is the most prevalent cause of dementia, accounting for 60–70% of all dementia cases globally. The World Health Organization (WHO) estimates that over 55 million people currently live with dementia, a number projected to reach 139 million by 2050 [1]. AD is a progressive condition characterized by neuronal loss, cortical atrophy, and hippocampal shrinkage that are visible on Brain MRI scans. Despite its scale, AD remains significantly underdiagnosed in its early stages, largely because subtle structural changes in MRI are difficult to identify without specialist expertise.</w:t>
      </w:r>
    </w:p>
    <w:p>
      <w:pPr>
        <w:spacing w:after="120" w:line="252" w:lineRule="auto"/>
        <w:jc w:val="both"/>
      </w:pPr>
      <w:r>
        <w:rPr>
          <w:rFonts w:ascii="Times New Roman" w:cs="Times New Roman" w:eastAsia="Times New Roman" w:hAnsi="Times New Roman"/>
          <w:sz w:val="20"/>
          <w:szCs w:val="20"/>
        </w:rPr>
        <w:t xml:space="preserve">Current clinical diagnosis relies on a combination of neuropsychological assessments, biomarker analysis, and manual interpretation of neuroimaging data. These methods are time-consuming, costly, and subject to inter-observer disagreement—especially for distinguishing adjacent stages such as Very Mild Demented and Non-Demented, where MRI differences are minimal. Many patients receive a definitive diagnosis only at the moderate or severe stage, by which point disease-modifying intervention is far less effective. This underscores the urgent need for automated, objective, and accessible early-stage detection tools.</w:t>
      </w:r>
    </w:p>
    <w:p>
      <w:pPr>
        <w:spacing w:after="120" w:line="252" w:lineRule="auto"/>
        <w:jc w:val="both"/>
      </w:pPr>
      <w:r>
        <w:rPr>
          <w:rFonts w:ascii="Times New Roman" w:cs="Times New Roman" w:eastAsia="Times New Roman" w:hAnsi="Times New Roman"/>
          <w:sz w:val="20"/>
          <w:szCs w:val="20"/>
        </w:rPr>
        <w:t xml:space="preserve">Deep learning, particularly Convolutional Neural Networks (CNNs), has demonstrated remarkable capability in extracting hierarchical visual features from medical images. Transfer learning—reusing representations learned from large-scale datasets like ImageNet for domain-specific tasks—has proven especially effective where labelled medical imaging data is limited. Among modern CNN architectures, ResNet50 is notable for its use of residual connections, which allow gradients to propagate through 50 layers without vanishing, enabling deeper and more expressive feature extraction than traditional CNNs [2].</w:t>
      </w:r>
    </w:p>
    <w:p>
      <w:pPr>
        <w:spacing w:after="120" w:line="252" w:lineRule="auto"/>
        <w:jc w:val="both"/>
      </w:pPr>
      <w:r>
        <w:rPr>
          <w:rFonts w:ascii="Times New Roman" w:cs="Times New Roman" w:eastAsia="Times New Roman" w:hAnsi="Times New Roman"/>
          <w:sz w:val="20"/>
          <w:szCs w:val="20"/>
        </w:rPr>
        <w:t xml:space="preserve">Most published AD classification systems address only binary detection (AD vs. Normal) and lack practical deployment infrastructure. There is a clear need for a system that: (a) performs four-class Alzheimer’s stage classification from Brain MRI; (b) uses a robust deep learning model such as ResNet50 with Transfer Learning; and (c) is accessible as a web-based application providing clinically meaningful outputs including a confidence score. This paper presents exactly such a system.</w:t>
      </w:r>
    </w:p>
    <w:p>
      <w:pPr>
        <w:spacing w:after="120" w:line="252" w:lineRule="auto"/>
        <w:jc w:val="both"/>
      </w:pPr>
      <w:r>
        <w:rPr>
          <w:rFonts w:ascii="Times New Roman" w:cs="Times New Roman" w:eastAsia="Times New Roman" w:hAnsi="Times New Roman"/>
          <w:sz w:val="20"/>
          <w:szCs w:val="20"/>
        </w:rPr>
        <w:t xml:space="preserve">The objectives of this work are: (1) To develop a ResNet50-based Transfer Learning model for multi-class Alzheimer’s Disease classification from Brain MRI images across four stages. (2) To implement an effective MRI preprocessing and data augmentation pipeline to improve model robustness and generalization. (3) To deploy the trained model as a web-based prediction system that provides Alzheimer’s stage prediction with a confidence score.</w:t>
      </w:r>
    </w:p>
    <w:p>
      <w:pPr>
        <w:spacing w:after="120" w:line="252" w:lineRule="auto"/>
        <w:jc w:val="both"/>
      </w:pPr>
      <w:r>
        <w:rPr>
          <w:rFonts w:ascii="Times New Roman" w:cs="Times New Roman" w:eastAsia="Times New Roman" w:hAnsi="Times New Roman"/>
          <w:sz w:val="20"/>
          <w:szCs w:val="20"/>
        </w:rPr>
        <w:t xml:space="preserve">The remainder of the paper is organized as follows: Section II reviews related work. Section III presents the proposed methodology. Section IV describes the system architecture. Section V covers implementation details. Section VI reports experimental results. Section VII outlines future scope. Section VIII concludes the paper.</w:t>
      </w:r>
    </w:p>
    <w:p>
      <w:pPr>
        <w:keepNext/>
        <w:spacing w:after="120" w:before="200"/>
        <w:jc w:val="center"/>
      </w:pPr>
      <w:r>
        <w:rPr>
          <w:rFonts w:ascii="Times New Roman" w:cs="Times New Roman" w:eastAsia="Times New Roman" w:hAnsi="Times New Roman"/>
          <w:b/>
          <w:bCs/>
          <w:sz w:val="20"/>
          <w:szCs w:val="20"/>
        </w:rPr>
        <w:t xml:space="preserve">II. LITERATURE SURVEY</w:t>
      </w:r>
    </w:p>
    <w:p>
      <w:pPr>
        <w:keepNext/>
        <w:spacing w:after="80" w:before="140"/>
        <w:jc w:val="left"/>
      </w:pPr>
      <w:r>
        <w:rPr>
          <w:rFonts w:ascii="Times New Roman" w:cs="Times New Roman" w:eastAsia="Times New Roman" w:hAnsi="Times New Roman"/>
          <w:i/>
          <w:iCs/>
          <w:sz w:val="20"/>
          <w:szCs w:val="20"/>
        </w:rPr>
        <w:t xml:space="preserve">A. CNN-Based Alzheimer’s Detection</w:t>
      </w:r>
    </w:p>
    <w:p>
      <w:pPr>
        <w:spacing w:after="120" w:line="252" w:lineRule="auto"/>
        <w:jc w:val="both"/>
      </w:pPr>
      <w:r>
        <w:rPr>
          <w:rFonts w:ascii="Times New Roman" w:cs="Times New Roman" w:eastAsia="Times New Roman" w:hAnsi="Times New Roman"/>
          <w:sz w:val="20"/>
          <w:szCs w:val="20"/>
        </w:rPr>
        <w:t xml:space="preserve">Bansal et al. [1] proposed a multi-modal framework for Alzheimer’s and dementia detection using OASIS clinical data and MRI scans. Clinical features were optimized using a Firefly Algorithm and passed into a deep neural network, while MRI images were processed through a hybrid AlexNet-101–SVM architecture. Decision-level fusion of the two branches achieved 93.3% accuracy and a 92.1% F1-score on the test set, outperforming multiple unimodal baselines. However, the system was not deployed as a clinical tool and did not provide explainability for individual predictions.</w:t>
      </w:r>
    </w:p>
    <w:p>
      <w:pPr>
        <w:spacing w:after="120" w:line="252" w:lineRule="auto"/>
        <w:jc w:val="both"/>
      </w:pPr>
      <w:r>
        <w:rPr>
          <w:rFonts w:ascii="Times New Roman" w:cs="Times New Roman" w:eastAsia="Times New Roman" w:hAnsi="Times New Roman"/>
          <w:sz w:val="20"/>
          <w:szCs w:val="20"/>
        </w:rPr>
        <w:t xml:space="preserve">Nandan et al. [2] surveyed machine learning approaches—including SVM, Random Forest, and deep learning—applied to early dementia detection using demographic, cognitive, and neuroimaging data. The survey identified recurring challenges: non-standardized datasets, limited performance of single-modality models, and the gap between research accuracy and practical clinical utility.</w:t>
      </w:r>
    </w:p>
    <w:p>
      <w:pPr>
        <w:keepNext/>
        <w:spacing w:after="80" w:before="140"/>
        <w:jc w:val="left"/>
      </w:pPr>
      <w:r>
        <w:rPr>
          <w:rFonts w:ascii="Times New Roman" w:cs="Times New Roman" w:eastAsia="Times New Roman" w:hAnsi="Times New Roman"/>
          <w:i/>
          <w:iCs/>
          <w:sz w:val="20"/>
          <w:szCs w:val="20"/>
        </w:rPr>
        <w:t xml:space="preserve">B. Transfer Learning for Brain MRI Classification</w:t>
      </w:r>
    </w:p>
    <w:p>
      <w:pPr>
        <w:spacing w:after="120" w:line="252" w:lineRule="auto"/>
        <w:jc w:val="both"/>
      </w:pPr>
      <w:r>
        <w:rPr>
          <w:rFonts w:ascii="Times New Roman" w:cs="Times New Roman" w:eastAsia="Times New Roman" w:hAnsi="Times New Roman"/>
          <w:sz w:val="20"/>
          <w:szCs w:val="20"/>
        </w:rPr>
        <w:t xml:space="preserve">Khan et al. [3] applied VGG16 and ResNet50 with Transfer Learning on the ADNI Brain MRI dataset, incorporating data augmentation and preprocessing. Their best model achieved 97.3% accuracy for binary AD vs. Normal classification, confirming that ImageNet-pretrained features transfer effectively to neuroimaging tasks even with relatively small datasets. This validates the Transfer Learning approach adopted in the proposed system.</w:t>
      </w:r>
    </w:p>
    <w:p>
      <w:pPr>
        <w:spacing w:after="120" w:line="252" w:lineRule="auto"/>
        <w:jc w:val="both"/>
      </w:pPr>
      <w:r>
        <w:rPr>
          <w:rFonts w:ascii="Times New Roman" w:cs="Times New Roman" w:eastAsia="Times New Roman" w:hAnsi="Times New Roman"/>
          <w:sz w:val="20"/>
          <w:szCs w:val="20"/>
        </w:rPr>
        <w:t xml:space="preserve">Liu et al. [4] designed a multi-scale CNN with an attention mechanism applied to Brain MRI volumes, reaching 95.8% accuracy through multi-scale feature fusion. Their design captures structural abnormalities at multiple resolutions, which is particularly relevant for distinguishing adjacent Alzheimer’s stages with subtle visual differences.</w:t>
      </w:r>
    </w:p>
    <w:p>
      <w:pPr>
        <w:keepNext/>
        <w:spacing w:after="80" w:before="140"/>
        <w:jc w:val="left"/>
      </w:pPr>
      <w:r>
        <w:rPr>
          <w:rFonts w:ascii="Times New Roman" w:cs="Times New Roman" w:eastAsia="Times New Roman" w:hAnsi="Times New Roman"/>
          <w:i/>
          <w:iCs/>
          <w:sz w:val="20"/>
          <w:szCs w:val="20"/>
        </w:rPr>
        <w:t xml:space="preserve">C. Explainability and Visualization</w:t>
      </w:r>
    </w:p>
    <w:p>
      <w:pPr>
        <w:spacing w:after="120" w:line="252" w:lineRule="auto"/>
        <w:jc w:val="both"/>
      </w:pPr>
      <w:r>
        <w:rPr>
          <w:rFonts w:ascii="Times New Roman" w:cs="Times New Roman" w:eastAsia="Times New Roman" w:hAnsi="Times New Roman"/>
          <w:sz w:val="20"/>
          <w:szCs w:val="20"/>
        </w:rPr>
        <w:t xml:space="preserve">Rajput et al. [5] integrated Grad-CAM with a CNN-based AD classifier, achieving 94.7% accuracy while producing visual heatmaps highlighting disease-relevant brain regions such as the hippocampus and entorhinal cortex. Clinician feedback confirmed that these visualizations meaningfully increased trust in AI-assisted diagnoses, demonstrating that model interpretability is as important as accuracy for clinical adoption.</w:t>
      </w:r>
    </w:p>
    <w:p>
      <w:pPr>
        <w:keepNext/>
        <w:spacing w:after="80" w:before="140"/>
        <w:jc w:val="left"/>
      </w:pPr>
      <w:r>
        <w:rPr>
          <w:rFonts w:ascii="Times New Roman" w:cs="Times New Roman" w:eastAsia="Times New Roman" w:hAnsi="Times New Roman"/>
          <w:i/>
          <w:iCs/>
          <w:sz w:val="20"/>
          <w:szCs w:val="20"/>
        </w:rPr>
        <w:t xml:space="preserve">D. Vision Transformers and Advanced Architectures</w:t>
      </w:r>
    </w:p>
    <w:p>
      <w:pPr>
        <w:spacing w:after="120" w:line="252" w:lineRule="auto"/>
        <w:jc w:val="both"/>
      </w:pPr>
      <w:r>
        <w:rPr>
          <w:rFonts w:ascii="Times New Roman" w:cs="Times New Roman" w:eastAsia="Times New Roman" w:hAnsi="Times New Roman"/>
          <w:sz w:val="20"/>
          <w:szCs w:val="20"/>
        </w:rPr>
        <w:t xml:space="preserve">Chen et al. [6] applied a Vision Transformer (ViT) with self-attention across axial, coronal, and sagittal MRI planes, achieving 97.9% accuracy and outperforming CNN-based models on three-plane inputs. While Vision Transformers show great promise, they typically require substantially larger datasets and computational resources than CNN-based Transfer Learning approaches, making ResNet50 a more practical choice for the dataset scale of this project.</w:t>
      </w:r>
    </w:p>
    <w:p>
      <w:pPr>
        <w:keepNext/>
        <w:spacing w:after="80" w:before="140"/>
        <w:jc w:val="left"/>
      </w:pPr>
      <w:r>
        <w:rPr>
          <w:rFonts w:ascii="Times New Roman" w:cs="Times New Roman" w:eastAsia="Times New Roman" w:hAnsi="Times New Roman"/>
          <w:i/>
          <w:iCs/>
          <w:sz w:val="20"/>
          <w:szCs w:val="20"/>
        </w:rPr>
        <w:t xml:space="preserve">E. Research Gap</w:t>
      </w:r>
    </w:p>
    <w:p>
      <w:pPr>
        <w:spacing w:after="120" w:line="252" w:lineRule="auto"/>
        <w:jc w:val="both"/>
      </w:pPr>
      <w:r>
        <w:rPr>
          <w:rFonts w:ascii="Times New Roman" w:cs="Times New Roman" w:eastAsia="Times New Roman" w:hAnsi="Times New Roman"/>
          <w:sz w:val="20"/>
          <w:szCs w:val="20"/>
        </w:rPr>
        <w:t xml:space="preserve">The reviewed literature reveals three consistent limitations. First, most systems address binary AD classification rather than the clinically more meaningful four-class staging across Non-Demented, Very Mild Demented, Mild Demented, and Moderate Demented. Second, multi-class classifiers rarely include the preprocessing rigor—resizing, normalization, augmentation—needed to generalize across MRI scanners and protocols. Third, very few systems are deployed as accessible web applications with interpretable outputs such as confidence scores. The proposed ResNet50-based system directly addresses all three gaps.</w:t>
      </w:r>
    </w:p>
    <w:p>
      <w:pPr>
        <w:spacing w:after="40" w:before="160"/>
        <w:jc w:val="center"/>
      </w:pPr>
      <w:r>
        <w:rPr>
          <w:rFonts w:ascii="Times New Roman" w:cs="Times New Roman" w:eastAsia="Times New Roman" w:hAnsi="Times New Roman"/>
          <w:b w:val="false"/>
          <w:bCs w:val="false"/>
          <w:sz w:val="18"/>
          <w:szCs w:val="18"/>
        </w:rPr>
        <w:t xml:space="preserve">TABLE I</w:t>
      </w:r>
    </w:p>
    <w:p>
      <w:pPr>
        <w:spacing w:after="40" w:before="160"/>
        <w:jc w:val="center"/>
      </w:pPr>
      <w:r>
        <w:rPr>
          <w:rFonts w:ascii="Times New Roman" w:cs="Times New Roman" w:eastAsia="Times New Roman" w:hAnsi="Times New Roman"/>
          <w:b w:val="false"/>
          <w:bCs w:val="false"/>
          <w:sz w:val="18"/>
          <w:szCs w:val="18"/>
        </w:rPr>
        <w:t xml:space="preserve">SUMMARY OF RELATED WORK VS. PROPOSED SYSTEM</w:t>
      </w:r>
    </w:p>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820"/>
        <w:gridCol w:w="1300"/>
        <w:gridCol w:w="1150"/>
        <w:gridCol w:w="700"/>
        <w:gridCol w:w="700"/>
      </w:tblGrid>
      <w:tr>
        <w:trPr>
          <w:tblHeader/>
        </w:trPr>
        <w:tc>
          <w:tcPr>
            <w:tcW w:type="dxa" w:w="82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Author (Ref)</w:t>
            </w:r>
          </w:p>
        </w:tc>
        <w:tc>
          <w:tcPr>
            <w:tcW w:type="dxa" w:w="13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Model / Technique</w:t>
            </w:r>
          </w:p>
        </w:tc>
        <w:tc>
          <w:tcPr>
            <w:tcW w:type="dxa" w:w="115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Data / Task</w:t>
            </w:r>
          </w:p>
        </w:tc>
        <w:tc>
          <w:tcPr>
            <w:tcW w:type="dxa" w:w="7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Acc (%)</w:t>
            </w:r>
          </w:p>
        </w:tc>
        <w:tc>
          <w:tcPr>
            <w:tcW w:type="dxa" w:w="7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F1 (%)</w:t>
            </w:r>
          </w:p>
        </w:tc>
      </w:tr>
      <w:tr>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Bansal et al. [1]</w:t>
            </w:r>
          </w:p>
        </w:tc>
        <w:tc>
          <w:tcPr>
            <w:tcW w:type="dxa" w:w="13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AlexNet-101 + Firefly DNN Fusion</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MRI+Clinical, Multi-modal</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93.3</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92.1</w:t>
            </w:r>
          </w:p>
        </w:tc>
      </w:tr>
      <w:tr>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Nandan et al. [2]</w:t>
            </w:r>
          </w:p>
        </w:tc>
        <w:tc>
          <w:tcPr>
            <w:tcW w:type="dxa" w:w="13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SVM / RF / Deep Learning</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MRI+Demo, Binary</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NR</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NR</w:t>
            </w:r>
          </w:p>
        </w:tc>
      </w:tr>
      <w:tr>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Khan et al. [3]</w:t>
            </w:r>
          </w:p>
        </w:tc>
        <w:tc>
          <w:tcPr>
            <w:tcW w:type="dxa" w:w="13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VGG16 + ResNet50, TL</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Brain MRI, Binary</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97.3</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NR</w:t>
            </w:r>
          </w:p>
        </w:tc>
      </w:tr>
      <w:tr>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Liu et al. [4]</w:t>
            </w:r>
          </w:p>
        </w:tc>
        <w:tc>
          <w:tcPr>
            <w:tcW w:type="dxa" w:w="13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Multi-scale CNN + Attention</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Brain MRI, 4-class</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95.8</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NR</w:t>
            </w:r>
          </w:p>
        </w:tc>
      </w:tr>
      <w:tr>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Rajput et al. [5]</w:t>
            </w:r>
          </w:p>
        </w:tc>
        <w:tc>
          <w:tcPr>
            <w:tcW w:type="dxa" w:w="13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CNN + Grad-CAM</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Brain MRI, 4-class</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94.7</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NR</w:t>
            </w:r>
          </w:p>
        </w:tc>
      </w:tr>
      <w:tr>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Chen et al. [6]</w:t>
            </w:r>
          </w:p>
        </w:tc>
        <w:tc>
          <w:tcPr>
            <w:tcW w:type="dxa" w:w="13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ViT, 3-plane</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Brain MRI, 4-class</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97.9</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NR</w:t>
            </w:r>
          </w:p>
        </w:tc>
      </w:tr>
      <w:tr>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Proposed Work</w:t>
            </w:r>
          </w:p>
        </w:tc>
        <w:tc>
          <w:tcPr>
            <w:tcW w:type="dxa" w:w="13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ResNet50 + TL (Ours)</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Brain MRI, 4-class</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r>
    </w:tbl>
    <w:p>
      <w:pPr>
        <w:spacing w:after="120" w:before="40"/>
        <w:jc w:val="both"/>
      </w:pPr>
      <w:r>
        <w:rPr>
          <w:rFonts w:ascii="Times New Roman" w:cs="Times New Roman" w:eastAsia="Times New Roman" w:hAnsi="Times New Roman"/>
          <w:i/>
          <w:iCs/>
          <w:sz w:val="18"/>
          <w:szCs w:val="18"/>
        </w:rPr>
        <w:t xml:space="preserve">[TBC] = To Be Confirmed after final experimental evaluation. NR = Not Reported.</w:t>
      </w:r>
    </w:p>
    <w:p>
      <w:pPr>
        <w:keepNext/>
        <w:spacing w:after="120" w:before="200"/>
        <w:jc w:val="center"/>
      </w:pPr>
      <w:r>
        <w:rPr>
          <w:rFonts w:ascii="Times New Roman" w:cs="Times New Roman" w:eastAsia="Times New Roman" w:hAnsi="Times New Roman"/>
          <w:b/>
          <w:bCs/>
          <w:sz w:val="20"/>
          <w:szCs w:val="20"/>
        </w:rPr>
        <w:t xml:space="preserve">III. PROPOSED METHODOLOGY</w:t>
      </w:r>
    </w:p>
    <w:p>
      <w:pPr>
        <w:spacing w:after="120" w:line="252" w:lineRule="auto"/>
        <w:jc w:val="both"/>
      </w:pPr>
      <w:r>
        <w:rPr>
          <w:rFonts w:ascii="Times New Roman" w:cs="Times New Roman" w:eastAsia="Times New Roman" w:hAnsi="Times New Roman"/>
          <w:sz w:val="20"/>
          <w:szCs w:val="20"/>
        </w:rPr>
        <w:t xml:space="preserve">The proposed system follows a seven-stage pipeline: Brain MRI Dataset → Preprocessing → Data Augmentation → ResNet50 Transfer Learning → Feature Extraction → Multi-class Classification → Alzheimer’s Stage Prediction with Confidence Score, with the trained model integrated into a web application for accessible deployment.</w:t>
      </w:r>
    </w:p>
    <w:p>
      <w:pPr>
        <w:keepNext/>
        <w:spacing w:after="80" w:before="140"/>
        <w:jc w:val="left"/>
      </w:pPr>
      <w:r>
        <w:rPr>
          <w:rFonts w:ascii="Times New Roman" w:cs="Times New Roman" w:eastAsia="Times New Roman" w:hAnsi="Times New Roman"/>
          <w:i/>
          <w:iCs/>
          <w:sz w:val="20"/>
          <w:szCs w:val="20"/>
        </w:rPr>
        <w:t xml:space="preserve">A. Brain MRI Dataset</w:t>
      </w:r>
    </w:p>
    <w:p>
      <w:pPr>
        <w:spacing w:after="120" w:line="252" w:lineRule="auto"/>
        <w:jc w:val="both"/>
      </w:pPr>
      <w:r>
        <w:rPr>
          <w:rFonts w:ascii="Times New Roman" w:cs="Times New Roman" w:eastAsia="Times New Roman" w:hAnsi="Times New Roman"/>
          <w:sz w:val="20"/>
          <w:szCs w:val="20"/>
        </w:rPr>
        <w:t xml:space="preserve">The system is trained and evaluated on the Augmented Alzheimer MRI Dataset, sourced from the open-access Kaggle repository. The dataset comprises Brain MRI images classified into four categories corresponding to Alzheimer’s Disease stages: Non-Demented, Very Mild Demented, Mild Demented, and Moderate Demented. The dataset is partitioned using an 80/20 train-test split with a fixed random seed to ensure reproducible and fair experimental comparison. Exact image counts per class are presented in the Results section.</w:t>
      </w:r>
    </w:p>
    <w:p>
      <w:pPr>
        <w:keepNext/>
        <w:spacing w:after="80" w:before="140"/>
        <w:jc w:val="left"/>
      </w:pPr>
      <w:r>
        <w:rPr>
          <w:rFonts w:ascii="Times New Roman" w:cs="Times New Roman" w:eastAsia="Times New Roman" w:hAnsi="Times New Roman"/>
          <w:i/>
          <w:iCs/>
          <w:sz w:val="20"/>
          <w:szCs w:val="20"/>
        </w:rPr>
        <w:t xml:space="preserve">B. MRI Preprocessing</w:t>
      </w:r>
    </w:p>
    <w:p>
      <w:pPr>
        <w:spacing w:after="120" w:line="252" w:lineRule="auto"/>
        <w:jc w:val="both"/>
      </w:pPr>
      <w:r>
        <w:rPr>
          <w:rFonts w:ascii="Times New Roman" w:cs="Times New Roman" w:eastAsia="Times New Roman" w:hAnsi="Times New Roman"/>
          <w:sz w:val="20"/>
          <w:szCs w:val="20"/>
        </w:rPr>
        <w:t xml:space="preserve">Raw MRI images undergo a structured preprocessing pipeline before being fed to the model. Each image is resized to 224×224 pixels to match the input specification required by the ResNet50 architecture. Pixel values are normalized to the range [0, 1] by dividing by 255, ensuring consistent scale across images and accelerating model convergence. Where applicable, noise reduction techniques are applied to remove imaging artifacts that may interfere with feature extraction.</w:t>
      </w:r>
    </w:p>
    <w:p>
      <w:pPr>
        <w:keepNext/>
        <w:spacing w:after="80" w:before="140"/>
        <w:jc w:val="left"/>
      </w:pPr>
      <w:r>
        <w:rPr>
          <w:rFonts w:ascii="Times New Roman" w:cs="Times New Roman" w:eastAsia="Times New Roman" w:hAnsi="Times New Roman"/>
          <w:i/>
          <w:iCs/>
          <w:sz w:val="20"/>
          <w:szCs w:val="20"/>
        </w:rPr>
        <w:t xml:space="preserve">C. Data Augmentation</w:t>
      </w:r>
    </w:p>
    <w:p>
      <w:pPr>
        <w:spacing w:after="120" w:line="252" w:lineRule="auto"/>
        <w:jc w:val="both"/>
      </w:pPr>
      <w:r>
        <w:rPr>
          <w:rFonts w:ascii="Times New Roman" w:cs="Times New Roman" w:eastAsia="Times New Roman" w:hAnsi="Times New Roman"/>
          <w:sz w:val="20"/>
          <w:szCs w:val="20"/>
        </w:rPr>
        <w:t xml:space="preserve">To improve model generalization and reduce the risk of overfitting—particularly for classes with fewer samples such as Moderate Demented—on-the-fly data augmentation is applied during training. Augmentation techniques include horizontal flipping, random rotation within a bounded range, zoom variation, and brightness adjustment. These transformations simulate real-world variability in MRI acquisition and patient positioning, expanding the effective training set without additional data collection.</w:t>
      </w:r>
    </w:p>
    <w:p>
      <w:pPr>
        <w:keepNext/>
        <w:spacing w:after="80" w:before="140"/>
        <w:jc w:val="left"/>
      </w:pPr>
      <w:r>
        <w:rPr>
          <w:rFonts w:ascii="Times New Roman" w:cs="Times New Roman" w:eastAsia="Times New Roman" w:hAnsi="Times New Roman"/>
          <w:i/>
          <w:iCs/>
          <w:sz w:val="20"/>
          <w:szCs w:val="20"/>
        </w:rPr>
        <w:t xml:space="preserve">D. ResNet50 Architecture and Transfer Learning</w:t>
      </w:r>
    </w:p>
    <w:p>
      <w:pPr>
        <w:spacing w:after="120" w:line="252" w:lineRule="auto"/>
        <w:jc w:val="both"/>
      </w:pPr>
      <w:r>
        <w:rPr>
          <w:rFonts w:ascii="Times New Roman" w:cs="Times New Roman" w:eastAsia="Times New Roman" w:hAnsi="Times New Roman"/>
          <w:sz w:val="20"/>
          <w:szCs w:val="20"/>
        </w:rPr>
        <w:t xml:space="preserve">ResNet50 [7] is a 50-layer deep Convolutional Neural Network that introduced residual (skip) connections to the deep learning literature. These connections allow the gradient signal to bypass one or more convolutional layers via a shortcut path, directly connecting the input of a residual block to its output. This design effectively mitigates the vanishing gradient problem that prevents very deep networks from training reliably, enabling ResNet50 to learn richer and more discriminative feature representations than shallower CNNs.</w:t>
      </w:r>
    </w:p>
    <w:p>
      <w:pPr>
        <w:spacing w:after="120" w:line="252" w:lineRule="auto"/>
        <w:jc w:val="both"/>
      </w:pPr>
      <w:r>
        <w:rPr>
          <w:rFonts w:ascii="Times New Roman" w:cs="Times New Roman" w:eastAsia="Times New Roman" w:hAnsi="Times New Roman"/>
          <w:sz w:val="20"/>
          <w:szCs w:val="20"/>
        </w:rPr>
        <w:t xml:space="preserve">For this project, ResNet50 is initialized with weights pretrained on the ImageNet dataset—a large-scale benchmark containing over 1 million images across 1,000 categories. Transfer Learning is applied by: (i) loading the pretrained ResNet50 base without its original classification head; (ii) initially freezing all base layers to preserve learned low-level and mid-level features; (iii) adding a Global Average Pooling layer followed by a fully connected Dense layer with four output nodes and Softmax activation, one node per Alzheimer’s stage; and (iv) progressively unfreezing deeper base layers during fine-tuning to adapt higher-level features to the MRI domain. This approach allows the model to leverage rich visual representations learned from ImageNet while specializing for Alzheimer’s stage discrimination from Brain MRI.</w:t>
      </w:r>
    </w:p>
    <w:p>
      <w:pPr>
        <w:keepNext/>
        <w:spacing w:after="80" w:before="140"/>
        <w:jc w:val="left"/>
      </w:pPr>
      <w:r>
        <w:rPr>
          <w:rFonts w:ascii="Times New Roman" w:cs="Times New Roman" w:eastAsia="Times New Roman" w:hAnsi="Times New Roman"/>
          <w:i/>
          <w:iCs/>
          <w:sz w:val="20"/>
          <w:szCs w:val="20"/>
        </w:rPr>
        <w:t xml:space="preserve">E. Feature Extraction and Multi-class Classification</w:t>
      </w:r>
    </w:p>
    <w:p>
      <w:pPr>
        <w:spacing w:after="120" w:line="252" w:lineRule="auto"/>
        <w:jc w:val="both"/>
      </w:pPr>
      <w:r>
        <w:rPr>
          <w:rFonts w:ascii="Times New Roman" w:cs="Times New Roman" w:eastAsia="Times New Roman" w:hAnsi="Times New Roman"/>
          <w:sz w:val="20"/>
          <w:szCs w:val="20"/>
        </w:rPr>
        <w:t xml:space="preserve">The convolutional and residual blocks of ResNet50 function as a feature extractor, transforming each 224×224 MRI image into a high-dimensional feature vector that encodes spatial, textural, and structural brain characteristics relevant to Alzheimer’s pathology. The Global Average Pooling layer reduces spatial dimensions while retaining the most important channel-wise activations. The final Dense layer with Softmax activation maps the extracted features to posterior probabilities over the four Alzheimer’s stages, producing both a predicted class label and an associated confidence score for each input image.</w:t>
      </w:r>
    </w:p>
    <w:p>
      <w:pPr>
        <w:keepNext/>
        <w:spacing w:after="80" w:before="140"/>
        <w:jc w:val="left"/>
      </w:pPr>
      <w:r>
        <w:rPr>
          <w:rFonts w:ascii="Times New Roman" w:cs="Times New Roman" w:eastAsia="Times New Roman" w:hAnsi="Times New Roman"/>
          <w:i/>
          <w:iCs/>
          <w:sz w:val="20"/>
          <w:szCs w:val="20"/>
        </w:rPr>
        <w:t xml:space="preserve">F. Alzheimer’s Stage Prediction and Confidence Score</w:t>
      </w:r>
    </w:p>
    <w:p>
      <w:pPr>
        <w:spacing w:after="120" w:line="252" w:lineRule="auto"/>
        <w:jc w:val="both"/>
      </w:pPr>
      <w:r>
        <w:rPr>
          <w:rFonts w:ascii="Times New Roman" w:cs="Times New Roman" w:eastAsia="Times New Roman" w:hAnsi="Times New Roman"/>
          <w:sz w:val="20"/>
          <w:szCs w:val="20"/>
        </w:rPr>
        <w:t xml:space="preserve">For each input Brain MRI image, the system outputs: (1) the predicted Alzheimer’s stage—one of Non-Demented, Very Mild Demented, Mild Demented, or Moderate Demented; and (2) a confidence score expressed as the Softmax probability of the predicted class, providing users with a quantitative measure of the model’s certainty. Both outputs are displayed in the web application interface and are available for further review.</w:t>
      </w:r>
    </w:p>
    <w:p>
      <w:pPr>
        <w:keepNext/>
        <w:spacing w:after="120" w:before="200"/>
        <w:jc w:val="center"/>
      </w:pPr>
      <w:r>
        <w:rPr>
          <w:rFonts w:ascii="Times New Roman" w:cs="Times New Roman" w:eastAsia="Times New Roman" w:hAnsi="Times New Roman"/>
          <w:b/>
          <w:bCs/>
          <w:sz w:val="20"/>
          <w:szCs w:val="20"/>
        </w:rPr>
        <w:t xml:space="preserve">IV. SYSTEM ARCHITECTURE</w:t>
      </w:r>
    </w:p>
    <w:p>
      <w:pPr>
        <w:spacing w:after="120" w:line="252" w:lineRule="auto"/>
        <w:jc w:val="both"/>
      </w:pPr>
      <w:r>
        <w:rPr>
          <w:rFonts w:ascii="Times New Roman" w:cs="Times New Roman" w:eastAsia="Times New Roman" w:hAnsi="Times New Roman"/>
          <w:sz w:val="20"/>
          <w:szCs w:val="20"/>
        </w:rPr>
        <w:t xml:space="preserve">The system is built around a modular pipeline architecture connecting a web-based user interface, a backend inference engine, and the trained ResNet50 model. Users upload Brain MRI images through the web application frontend. The backend receives the image, executes the preprocessing pipeline (resize, normalize), performs inference using the trained ResNet50 model, and returns the predicted Alzheimer’s stage and confidence score to the frontend for display.</w:t>
      </w:r>
    </w:p>
    <w:p>
      <w:pPr>
        <w:spacing w:after="120" w:line="252" w:lineRule="auto"/>
        <w:jc w:val="both"/>
      </w:pPr>
      <w:r>
        <w:rPr>
          <w:rFonts w:ascii="Times New Roman" w:cs="Times New Roman" w:eastAsia="Times New Roman" w:hAnsi="Times New Roman"/>
          <w:sz w:val="20"/>
          <w:szCs w:val="20"/>
        </w:rPr>
        <w:t xml:space="preserve">The ResNet50 model is served as an independent inference module, allowing it to be retrained or replaced without disrupting other system components. The architecture is designed to be modular, enabling future extension to additional disease classification modules.</w:t>
      </w:r>
    </w:p>
    <w:p>
      <w:pPr>
        <w:spacing w:after="120" w:before="40"/>
        <w:jc w:val="both"/>
      </w:pPr>
      <w:r>
        <w:rPr>
          <w:rFonts w:ascii="Times New Roman" w:cs="Times New Roman" w:eastAsia="Times New Roman" w:hAnsi="Times New Roman"/>
          <w:i/>
          <w:iCs/>
          <w:sz w:val="18"/>
          <w:szCs w:val="18"/>
        </w:rPr>
        <w:t xml:space="preserve">Note: Specific backend framework, database, and authentication technologies are confirmed to those actually implemented in the project.</w:t>
      </w:r>
    </w:p>
    <w:p>
      <w:pPr>
        <w:keepNext/>
        <w:spacing w:after="120" w:before="200"/>
        <w:jc w:val="center"/>
      </w:pPr>
      <w:r>
        <w:rPr>
          <w:rFonts w:ascii="Times New Roman" w:cs="Times New Roman" w:eastAsia="Times New Roman" w:hAnsi="Times New Roman"/>
          <w:b/>
          <w:bCs/>
          <w:sz w:val="20"/>
          <w:szCs w:val="20"/>
        </w:rPr>
        <w:t xml:space="preserve">V. IMPLEMENTATION</w:t>
      </w:r>
    </w:p>
    <w:p>
      <w:pPr>
        <w:keepNext/>
        <w:spacing w:after="80" w:before="140"/>
        <w:jc w:val="left"/>
      </w:pPr>
      <w:r>
        <w:rPr>
          <w:rFonts w:ascii="Times New Roman" w:cs="Times New Roman" w:eastAsia="Times New Roman" w:hAnsi="Times New Roman"/>
          <w:i/>
          <w:iCs/>
          <w:sz w:val="20"/>
          <w:szCs w:val="20"/>
        </w:rPr>
        <w:t xml:space="preserve">A. Web Application Frontend</w:t>
      </w:r>
    </w:p>
    <w:p>
      <w:pPr>
        <w:spacing w:after="120" w:line="252" w:lineRule="auto"/>
        <w:jc w:val="both"/>
      </w:pPr>
      <w:r>
        <w:rPr>
          <w:rFonts w:ascii="Times New Roman" w:cs="Times New Roman" w:eastAsia="Times New Roman" w:hAnsi="Times New Roman"/>
          <w:sz w:val="20"/>
          <w:szCs w:val="20"/>
        </w:rPr>
        <w:t xml:space="preserve">The web application provides an accessible interface for uploading Brain MRI images and viewing prediction results. Key frontend features include: a file upload interface accepting standard MRI image formats; display of the predicted Alzheimer’s stage with its confidence score; and result presentation in a clear, user-readable format.</w:t>
      </w:r>
    </w:p>
    <w:p>
      <w:pPr>
        <w:spacing w:after="120" w:before="40"/>
        <w:jc w:val="both"/>
      </w:pPr>
      <w:r>
        <w:rPr>
          <w:rFonts w:ascii="Times New Roman" w:cs="Times New Roman" w:eastAsia="Times New Roman" w:hAnsi="Times New Roman"/>
          <w:i/>
          <w:iCs/>
          <w:sz w:val="18"/>
          <w:szCs w:val="18"/>
        </w:rPr>
        <w:t xml:space="preserve">Specific frontend framework and additional features are confirmed to those actually implemented.</w:t>
      </w:r>
    </w:p>
    <w:p>
      <w:pPr>
        <w:keepNext/>
        <w:spacing w:after="80" w:before="140"/>
        <w:jc w:val="left"/>
      </w:pPr>
      <w:r>
        <w:rPr>
          <w:rFonts w:ascii="Times New Roman" w:cs="Times New Roman" w:eastAsia="Times New Roman" w:hAnsi="Times New Roman"/>
          <w:i/>
          <w:iCs/>
          <w:sz w:val="20"/>
          <w:szCs w:val="20"/>
        </w:rPr>
        <w:t xml:space="preserve">B. Model Training Environment</w:t>
      </w:r>
    </w:p>
    <w:p>
      <w:pPr>
        <w:spacing w:after="120" w:line="252" w:lineRule="auto"/>
        <w:jc w:val="both"/>
      </w:pPr>
      <w:r>
        <w:rPr>
          <w:rFonts w:ascii="Times New Roman" w:cs="Times New Roman" w:eastAsia="Times New Roman" w:hAnsi="Times New Roman"/>
          <w:sz w:val="20"/>
          <w:szCs w:val="20"/>
        </w:rPr>
        <w:t xml:space="preserve">The ResNet50 model is trained using the TensorFlow/Keras deep learning framework. The training configuration is as follows: Optimizer: [TO BE CONFIRMED]; Loss function: Categorical Cross-Entropy (appropriate for four-class classification); Batch size: [TO BE CONFIRMED]; Number of epochs: [TO BE CONFIRMED]; Initial learning rate: [TO BE CONFIRMED]; Learning rate schedule: [TO BE CONFIRMED]; Hardware: [TO BE CONFIRMED]. Class weights are computed from the training set distribution to mitigate the effect of class imbalance, particularly for the Moderate Demented category, which contains fewer samples than the other three classes.</w:t>
      </w:r>
    </w:p>
    <w:p>
      <w:pPr>
        <w:keepNext/>
        <w:spacing w:after="80" w:before="140"/>
        <w:jc w:val="left"/>
      </w:pPr>
      <w:r>
        <w:rPr>
          <w:rFonts w:ascii="Times New Roman" w:cs="Times New Roman" w:eastAsia="Times New Roman" w:hAnsi="Times New Roman"/>
          <w:i/>
          <w:iCs/>
          <w:sz w:val="20"/>
          <w:szCs w:val="20"/>
        </w:rPr>
        <w:t xml:space="preserve">C. Training Strategy</w:t>
      </w:r>
    </w:p>
    <w:p>
      <w:pPr>
        <w:spacing w:after="120" w:line="252" w:lineRule="auto"/>
        <w:jc w:val="both"/>
      </w:pPr>
      <w:r>
        <w:rPr>
          <w:rFonts w:ascii="Times New Roman" w:cs="Times New Roman" w:eastAsia="Times New Roman" w:hAnsi="Times New Roman"/>
          <w:sz w:val="20"/>
          <w:szCs w:val="20"/>
        </w:rPr>
        <w:t xml:space="preserve">Training proceeds in two phases. In Phase 1, the ResNet50 base layers are frozen and only the newly added classification head is trained for an initial number of epochs. This allows the head to learn meaningful mappings from ResNet50 features to Alzheimer’s stage labels without disrupting pretrained representations. In Phase 2, selected deeper base layers are unfrozen and the full model is fine-tuned end-to-end with a lower learning rate, allowing the feature extractor to specialize for Brain MRI characteristics while retaining the generalizable representations acquired during ImageNet pretraining.</w:t>
      </w:r>
    </w:p>
    <w:p>
      <w:pPr>
        <w:keepNext/>
        <w:spacing w:after="80" w:before="140"/>
        <w:jc w:val="left"/>
      </w:pPr>
      <w:r>
        <w:rPr>
          <w:rFonts w:ascii="Times New Roman" w:cs="Times New Roman" w:eastAsia="Times New Roman" w:hAnsi="Times New Roman"/>
          <w:i/>
          <w:iCs/>
          <w:sz w:val="20"/>
          <w:szCs w:val="20"/>
        </w:rPr>
        <w:t xml:space="preserve">D. Evaluation Protocol</w:t>
      </w:r>
    </w:p>
    <w:p>
      <w:pPr>
        <w:spacing w:after="120" w:line="252" w:lineRule="auto"/>
        <w:jc w:val="both"/>
      </w:pPr>
      <w:r>
        <w:rPr>
          <w:rFonts w:ascii="Times New Roman" w:cs="Times New Roman" w:eastAsia="Times New Roman" w:hAnsi="Times New Roman"/>
          <w:sz w:val="20"/>
          <w:szCs w:val="20"/>
        </w:rPr>
        <w:t xml:space="preserve">Model performance is evaluated on the held-out 20% test split using four standard metrics: Accuracy, Precision, Recall, and F1-score, computed per class and as a weighted overall average from the standard confusion matrix. The same random seed used during dataset splitting is preserved across all training and evaluation runs to ensure reproducibility.</w:t>
      </w:r>
    </w:p>
    <w:p>
      <w:pPr>
        <w:keepNext/>
        <w:spacing w:after="120" w:before="200"/>
        <w:jc w:val="center"/>
      </w:pPr>
      <w:r>
        <w:rPr>
          <w:rFonts w:ascii="Times New Roman" w:cs="Times New Roman" w:eastAsia="Times New Roman" w:hAnsi="Times New Roman"/>
          <w:b/>
          <w:bCs/>
          <w:sz w:val="20"/>
          <w:szCs w:val="20"/>
        </w:rPr>
        <w:t xml:space="preserve">VI. RESULTS AND DISCUSSION</w:t>
      </w:r>
    </w:p>
    <w:p>
      <w:pPr>
        <w:keepNext/>
        <w:spacing w:after="80" w:before="140"/>
        <w:jc w:val="left"/>
      </w:pPr>
      <w:r>
        <w:rPr>
          <w:rFonts w:ascii="Times New Roman" w:cs="Times New Roman" w:eastAsia="Times New Roman" w:hAnsi="Times New Roman"/>
          <w:i/>
          <w:iCs/>
          <w:sz w:val="20"/>
          <w:szCs w:val="20"/>
        </w:rPr>
        <w:t xml:space="preserve">A. Dataset Distribution</w:t>
      </w:r>
    </w:p>
    <w:p>
      <w:pPr>
        <w:spacing w:after="120" w:line="252" w:lineRule="auto"/>
        <w:jc w:val="both"/>
      </w:pPr>
      <w:r>
        <w:rPr>
          <w:rFonts w:ascii="Times New Roman" w:cs="Times New Roman" w:eastAsia="Times New Roman" w:hAnsi="Times New Roman"/>
          <w:sz w:val="20"/>
          <w:szCs w:val="20"/>
        </w:rPr>
        <w:t xml:space="preserve">The Augmented Alzheimer MRI Dataset used in this study contains Brain MRI images across four classes. The exact class distribution and the resulting train/test split counts are provided in TABLE II. [Dataset image counts per class: TO BE CONFIRMED from the actual dataset used.]</w:t>
      </w:r>
    </w:p>
    <w:p>
      <w:pPr>
        <w:keepNext/>
        <w:spacing w:after="80" w:before="140"/>
        <w:jc w:val="left"/>
      </w:pPr>
      <w:r>
        <w:rPr>
          <w:rFonts w:ascii="Times New Roman" w:cs="Times New Roman" w:eastAsia="Times New Roman" w:hAnsi="Times New Roman"/>
          <w:i/>
          <w:iCs/>
          <w:sz w:val="20"/>
          <w:szCs w:val="20"/>
        </w:rPr>
        <w:t xml:space="preserve">B. ResNet50 Classification Performance</w:t>
      </w:r>
    </w:p>
    <w:p>
      <w:pPr>
        <w:spacing w:after="120" w:line="252" w:lineRule="auto"/>
        <w:jc w:val="both"/>
      </w:pPr>
      <w:r>
        <w:rPr>
          <w:rFonts w:ascii="Times New Roman" w:cs="Times New Roman" w:eastAsia="Times New Roman" w:hAnsi="Times New Roman"/>
          <w:sz w:val="20"/>
          <w:szCs w:val="20"/>
        </w:rPr>
        <w:t xml:space="preserve">TABLE II presents the per-class and overall classification performance of the proposed ResNet50-based system on the held-out test set. All metric values marked [TO BE CONFIRMED] are to be replaced with actual experimental results obtained after model training and evaluation.</w:t>
      </w:r>
    </w:p>
    <w:p>
      <w:pPr>
        <w:spacing w:after="40" w:before="160"/>
        <w:jc w:val="center"/>
      </w:pPr>
      <w:r>
        <w:rPr>
          <w:rFonts w:ascii="Times New Roman" w:cs="Times New Roman" w:eastAsia="Times New Roman" w:hAnsi="Times New Roman"/>
          <w:b w:val="false"/>
          <w:bCs w:val="false"/>
          <w:sz w:val="18"/>
          <w:szCs w:val="18"/>
        </w:rPr>
        <w:t xml:space="preserve">TABLE II</w:t>
      </w:r>
    </w:p>
    <w:p>
      <w:pPr>
        <w:spacing w:after="40" w:before="160"/>
        <w:jc w:val="center"/>
      </w:pPr>
      <w:r>
        <w:rPr>
          <w:rFonts w:ascii="Times New Roman" w:cs="Times New Roman" w:eastAsia="Times New Roman" w:hAnsi="Times New Roman"/>
          <w:b w:val="false"/>
          <w:bCs w:val="false"/>
          <w:sz w:val="18"/>
          <w:szCs w:val="18"/>
        </w:rPr>
        <w:t xml:space="preserve">RESNET50 PER-CLASS CLASSIFICATION PERFORMANCE</w:t>
      </w:r>
    </w:p>
    <w:tbl>
      <w:tblPr>
        <w:tblW w:type="dxa" w:w="4850"/>
        <w:tblBorders>
          <w:top w:val="single" w:color="auto" w:sz="4"/>
          <w:left w:val="single" w:color="auto" w:sz="4"/>
          <w:bottom w:val="single" w:color="auto" w:sz="4"/>
          <w:right w:val="single" w:color="auto" w:sz="4"/>
          <w:insideH w:val="single" w:color="auto" w:sz="4"/>
          <w:insideV w:val="single" w:color="auto" w:sz="4"/>
        </w:tblBorders>
      </w:tblPr>
      <w:tblGrid>
        <w:gridCol w:w="1450"/>
        <w:gridCol w:w="850"/>
        <w:gridCol w:w="850"/>
        <w:gridCol w:w="850"/>
        <w:gridCol w:w="850"/>
      </w:tblGrid>
      <w:tr>
        <w:trPr>
          <w:tblHeader/>
        </w:trPr>
        <w:tc>
          <w:tcPr>
            <w:tcW w:type="dxa" w:w="145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Class</w:t>
            </w:r>
          </w:p>
        </w:tc>
        <w:tc>
          <w:tcPr>
            <w:tcW w:type="dxa" w:w="85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Acc (%)</w:t>
            </w:r>
          </w:p>
        </w:tc>
        <w:tc>
          <w:tcPr>
            <w:tcW w:type="dxa" w:w="85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Prec (%)</w:t>
            </w:r>
          </w:p>
        </w:tc>
        <w:tc>
          <w:tcPr>
            <w:tcW w:type="dxa" w:w="85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Rec (%)</w:t>
            </w:r>
          </w:p>
        </w:tc>
        <w:tc>
          <w:tcPr>
            <w:tcW w:type="dxa" w:w="85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F1 (%)</w:t>
            </w:r>
          </w:p>
        </w:tc>
      </w:tr>
      <w:tr>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Non-Demented</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r>
      <w:tr>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Very Mild Demented</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r>
      <w:tr>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Mild Demented</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r>
      <w:tr>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Moderate Demented</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r>
      <w:tr>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Overall (Weighted)</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[TBC]</w:t>
            </w:r>
          </w:p>
        </w:tc>
      </w:tr>
    </w:tbl>
    <w:p>
      <w:pPr>
        <w:spacing w:after="120" w:before="40"/>
        <w:jc w:val="both"/>
      </w:pPr>
      <w:r>
        <w:rPr>
          <w:rFonts w:ascii="Times New Roman" w:cs="Times New Roman" w:eastAsia="Times New Roman" w:hAnsi="Times New Roman"/>
          <w:i/>
          <w:iCs/>
          <w:sz w:val="18"/>
          <w:szCs w:val="18"/>
        </w:rPr>
        <w:t xml:space="preserve">Note: All values marked [TO BE CONFIRMED] / [TBC] will be updated with actual experimental results.</w:t>
      </w:r>
    </w:p>
    <w:p>
      <w:pPr>
        <w:keepNext/>
        <w:spacing w:after="80" w:before="140"/>
        <w:jc w:val="left"/>
      </w:pPr>
      <w:r>
        <w:rPr>
          <w:rFonts w:ascii="Times New Roman" w:cs="Times New Roman" w:eastAsia="Times New Roman" w:hAnsi="Times New Roman"/>
          <w:i/>
          <w:iCs/>
          <w:sz w:val="20"/>
          <w:szCs w:val="20"/>
        </w:rPr>
        <w:t xml:space="preserve">C. Confusion Matrix Analysis</w:t>
      </w:r>
    </w:p>
    <w:p>
      <w:pPr>
        <w:spacing w:after="120" w:line="252" w:lineRule="auto"/>
        <w:jc w:val="both"/>
      </w:pPr>
      <w:r>
        <w:rPr>
          <w:rFonts w:ascii="Times New Roman" w:cs="Times New Roman" w:eastAsia="Times New Roman" w:hAnsi="Times New Roman"/>
          <w:sz w:val="20"/>
          <w:szCs w:val="20"/>
        </w:rPr>
        <w:t xml:space="preserve">A detailed per-class analysis from the confusion matrix is expected to reveal the following patterns, consistent with findings in the literature:</w:t>
      </w:r>
    </w:p>
    <w:p>
      <w:pPr>
        <w:keepNext/>
        <w:spacing w:after="80" w:before="140"/>
        <w:jc w:val="left"/>
      </w:pPr>
      <w:r>
        <w:rPr>
          <w:rFonts w:ascii="Times New Roman" w:cs="Times New Roman" w:eastAsia="Times New Roman" w:hAnsi="Times New Roman"/>
          <w:i/>
          <w:iCs/>
          <w:sz w:val="20"/>
          <w:szCs w:val="20"/>
        </w:rPr>
        <w:t xml:space="preserve">D. Discussion</w:t>
      </w:r>
    </w:p>
    <w:p>
      <w:pPr>
        <w:spacing w:after="120" w:line="252" w:lineRule="auto"/>
        <w:jc w:val="both"/>
      </w:pPr>
      <w:r>
        <w:rPr>
          <w:rFonts w:ascii="Times New Roman" w:cs="Times New Roman" w:eastAsia="Times New Roman" w:hAnsi="Times New Roman"/>
          <w:sz w:val="20"/>
          <w:szCs w:val="20"/>
        </w:rPr>
        <w:t xml:space="preserve">ResNet50’s residual connections enable the model to extract deep hierarchical features from Brain MRI images without suffering gradient vanishing across its 50 layers. Transfer Learning from ImageNet provides a strong initialization of low-level feature detectors (edges, textures, shapes) that are repurposed for MRI analysis during fine-tuning. The key challenge in four-class Alzheimer’s staging is the visual similarity between adjacent stages—particularly Non-Demented vs. Very Mild Demented—which drives class confusion in the confusion matrix and reduces the weighted F1-score below what would be expected for binary classification tasks.</w:t>
      </w:r>
    </w:p>
    <w:p>
      <w:pPr>
        <w:spacing w:after="120" w:line="252" w:lineRule="auto"/>
        <w:jc w:val="both"/>
      </w:pPr>
      <w:r>
        <w:rPr>
          <w:rFonts w:ascii="Times New Roman" w:cs="Times New Roman" w:eastAsia="Times New Roman" w:hAnsi="Times New Roman"/>
          <w:sz w:val="20"/>
          <w:szCs w:val="20"/>
        </w:rPr>
        <w:t xml:space="preserve">The confidence score output by the Softmax layer provides an additional dimension of interpretability: predictions with high confidence (e.g., &gt;90%) can be treated with greater reliability than low-confidence predictions, which may benefit from additional clinical review. This mechanism partially compensates for the absence of a full explainability module such as Grad-CAM, which remains a direction for future work.</w:t>
      </w:r>
    </w:p>
    <w:p>
      <w:pPr>
        <w:spacing w:after="120" w:line="252" w:lineRule="auto"/>
        <w:jc w:val="both"/>
      </w:pPr>
      <w:r>
        <w:rPr>
          <w:rFonts w:ascii="Times New Roman" w:cs="Times New Roman" w:eastAsia="Times New Roman" w:hAnsi="Times New Roman"/>
          <w:sz w:val="20"/>
          <w:szCs w:val="20"/>
        </w:rPr>
        <w:t xml:space="preserve">It is important to note that this system is an AI-assisted research and screening prototype. All predictions should be interpreted by qualified medical professionals, and the system does not replace clinical diagnosis, neurological assessment, or radiological review.</w:t>
      </w:r>
    </w:p>
    <w:p>
      <w:pPr>
        <w:keepNext/>
        <w:spacing w:after="80" w:before="140"/>
        <w:jc w:val="left"/>
      </w:pPr>
      <w:r>
        <w:rPr>
          <w:rFonts w:ascii="Times New Roman" w:cs="Times New Roman" w:eastAsia="Times New Roman" w:hAnsi="Times New Roman"/>
          <w:i/>
          <w:iCs/>
          <w:sz w:val="20"/>
          <w:szCs w:val="20"/>
        </w:rPr>
        <w:t xml:space="preserve">E. Comparison with Existing Works</w:t>
      </w:r>
    </w:p>
    <w:p>
      <w:pPr>
        <w:spacing w:after="120" w:line="252" w:lineRule="auto"/>
        <w:jc w:val="both"/>
      </w:pPr>
      <w:r>
        <w:rPr>
          <w:rFonts w:ascii="Times New Roman" w:cs="Times New Roman" w:eastAsia="Times New Roman" w:hAnsi="Times New Roman"/>
          <w:sz w:val="20"/>
          <w:szCs w:val="20"/>
        </w:rPr>
        <w:t xml:space="preserve">As shown in TABLE I, the proposed ResNet50-based system targets four-class Alzheimer’s stage classification from Brain MRI, which is a harder task than the binary classification attempted by Khan et al. [3] (97.3%) and the fusion-based approach of Bansal et al. [1] (93.3%). Direct numerical comparison is meaningful only between systems that address the same number of output classes and use identical datasets. The primary contribution of the proposed system is not superior accuracy over binary classifiers but the combination of: (a) four-class staging using ResNet50 Transfer Learning; (b) a complete preprocessing and augmentation pipeline; and (c) practical deployment as a web-based prediction system with confidence scores.</w:t>
      </w:r>
    </w:p>
    <w:p>
      <w:pPr>
        <w:keepNext/>
        <w:spacing w:after="120" w:before="200"/>
        <w:jc w:val="center"/>
      </w:pPr>
      <w:r>
        <w:rPr>
          <w:rFonts w:ascii="Times New Roman" w:cs="Times New Roman" w:eastAsia="Times New Roman" w:hAnsi="Times New Roman"/>
          <w:b/>
          <w:bCs/>
          <w:sz w:val="20"/>
          <w:szCs w:val="20"/>
        </w:rPr>
        <w:t xml:space="preserve">VII. FUTURE SCOPE</w:t>
      </w:r>
    </w:p>
    <w:p>
      <w:pPr>
        <w:keepNext/>
        <w:spacing w:after="80" w:before="140"/>
        <w:jc w:val="left"/>
      </w:pPr>
      <w:r>
        <w:rPr>
          <w:rFonts w:ascii="Times New Roman" w:cs="Times New Roman" w:eastAsia="Times New Roman" w:hAnsi="Times New Roman"/>
          <w:i/>
          <w:iCs/>
          <w:sz w:val="20"/>
          <w:szCs w:val="20"/>
        </w:rPr>
        <w:t xml:space="preserve">A. Advanced Architectures</w:t>
      </w:r>
    </w:p>
    <w:p>
      <w:pPr>
        <w:spacing w:after="120" w:line="252" w:lineRule="auto"/>
        <w:jc w:val="both"/>
      </w:pPr>
      <w:r>
        <w:rPr>
          <w:rFonts w:ascii="Times New Roman" w:cs="Times New Roman" w:eastAsia="Times New Roman" w:hAnsi="Times New Roman"/>
          <w:sz w:val="20"/>
          <w:szCs w:val="20"/>
        </w:rPr>
        <w:t xml:space="preserve">Future iterations could explore EfficientNet, DenseNet, Vision Transformers (ViT), and ConvNeXt as alternative or ensemble backbones. Multi-modal approaches combining Brain MRI features with structured clinical data (MMSE scores, CSF biomarkers, genetic risk factors) have consistently outperformed imaging-only models in the literature and represent a natural extension of this work.</w:t>
      </w:r>
    </w:p>
    <w:p>
      <w:pPr>
        <w:keepNext/>
        <w:spacing w:after="80" w:before="140"/>
        <w:jc w:val="left"/>
      </w:pPr>
      <w:r>
        <w:rPr>
          <w:rFonts w:ascii="Times New Roman" w:cs="Times New Roman" w:eastAsia="Times New Roman" w:hAnsi="Times New Roman"/>
          <w:i/>
          <w:iCs/>
          <w:sz w:val="20"/>
          <w:szCs w:val="20"/>
        </w:rPr>
        <w:t xml:space="preserve">B. Explainability (Grad-CAM)</w:t>
      </w:r>
    </w:p>
    <w:p>
      <w:pPr>
        <w:spacing w:after="120" w:line="252" w:lineRule="auto"/>
        <w:jc w:val="both"/>
      </w:pPr>
      <w:r>
        <w:rPr>
          <w:rFonts w:ascii="Times New Roman" w:cs="Times New Roman" w:eastAsia="Times New Roman" w:hAnsi="Times New Roman"/>
          <w:sz w:val="20"/>
          <w:szCs w:val="20"/>
        </w:rPr>
        <w:t xml:space="preserve">Integrating Grad-CAM or similar Class Activation Mapping techniques would produce visual heatmaps highlighting the brain regions—hippocampus, entorhinal cortex, parietal lobes—driving each prediction. This would substantially increase clinician trust and enable human-AI collaborative diagnosis rather than black-box decision-making.</w:t>
      </w:r>
    </w:p>
    <w:p>
      <w:pPr>
        <w:keepNext/>
        <w:spacing w:after="80" w:before="140"/>
        <w:jc w:val="left"/>
      </w:pPr>
      <w:r>
        <w:rPr>
          <w:rFonts w:ascii="Times New Roman" w:cs="Times New Roman" w:eastAsia="Times New Roman" w:hAnsi="Times New Roman"/>
          <w:i/>
          <w:iCs/>
          <w:sz w:val="20"/>
          <w:szCs w:val="20"/>
        </w:rPr>
        <w:t xml:space="preserve">C. Clinical Validation</w:t>
      </w:r>
    </w:p>
    <w:p>
      <w:pPr>
        <w:spacing w:after="120" w:line="252" w:lineRule="auto"/>
        <w:jc w:val="both"/>
      </w:pPr>
      <w:r>
        <w:rPr>
          <w:rFonts w:ascii="Times New Roman" w:cs="Times New Roman" w:eastAsia="Times New Roman" w:hAnsi="Times New Roman"/>
          <w:sz w:val="20"/>
          <w:szCs w:val="20"/>
        </w:rPr>
        <w:t xml:space="preserve">The current system is trained and evaluated on a publicly available Kaggle dataset. Before any clinical application, the model must be validated on large-scale, demographically diverse, hospital-collected Brain MRI datasets to assess real-world generalization across different MRI scanners, acquisition protocols, and patient populations. Regular retraining on updated data is essential to maintain performance.</w:t>
      </w:r>
    </w:p>
    <w:p>
      <w:pPr>
        <w:keepNext/>
        <w:spacing w:after="80" w:before="140"/>
        <w:jc w:val="left"/>
      </w:pPr>
      <w:r>
        <w:rPr>
          <w:rFonts w:ascii="Times New Roman" w:cs="Times New Roman" w:eastAsia="Times New Roman" w:hAnsi="Times New Roman"/>
          <w:i/>
          <w:iCs/>
          <w:sz w:val="20"/>
          <w:szCs w:val="20"/>
        </w:rPr>
        <w:t xml:space="preserve">D. Federated Learning</w:t>
      </w:r>
    </w:p>
    <w:p>
      <w:pPr>
        <w:spacing w:after="120" w:line="252" w:lineRule="auto"/>
        <w:jc w:val="both"/>
      </w:pPr>
      <w:r>
        <w:rPr>
          <w:rFonts w:ascii="Times New Roman" w:cs="Times New Roman" w:eastAsia="Times New Roman" w:hAnsi="Times New Roman"/>
          <w:sz w:val="20"/>
          <w:szCs w:val="20"/>
        </w:rPr>
        <w:t xml:space="preserve">Training on data from multiple hospitals using federated learning—without raw patient images leaving local institutions—would provide access to larger and more representative training sets while preserving patient privacy and satisfying healthcare data governance requirements such as HIPAA and GDPR.</w:t>
      </w:r>
    </w:p>
    <w:p>
      <w:pPr>
        <w:keepNext/>
        <w:spacing w:after="80" w:before="140"/>
        <w:jc w:val="left"/>
      </w:pPr>
      <w:r>
        <w:rPr>
          <w:rFonts w:ascii="Times New Roman" w:cs="Times New Roman" w:eastAsia="Times New Roman" w:hAnsi="Times New Roman"/>
          <w:i/>
          <w:iCs/>
          <w:sz w:val="20"/>
          <w:szCs w:val="20"/>
        </w:rPr>
        <w:t xml:space="preserve">E. Mobile and Enhanced Web Application</w:t>
      </w:r>
    </w:p>
    <w:p>
      <w:pPr>
        <w:spacing w:after="120" w:line="252" w:lineRule="auto"/>
        <w:jc w:val="both"/>
      </w:pPr>
      <w:r>
        <w:rPr>
          <w:rFonts w:ascii="Times New Roman" w:cs="Times New Roman" w:eastAsia="Times New Roman" w:hAnsi="Times New Roman"/>
          <w:sz w:val="20"/>
          <w:szCs w:val="20"/>
        </w:rPr>
        <w:t xml:space="preserve">Developing mobile applications for iOS and Android would extend the system’s reach to community health workers and remote clinics. Enhancing the web application with prediction history, longitudinal tracking of a patient’s Alzheimer’s stage over time, and downloadable clinical reports would increase its utility in a real healthcare workflow.</w:t>
      </w:r>
    </w:p>
    <w:p>
      <w:pPr>
        <w:keepNext/>
        <w:spacing w:after="120" w:before="200"/>
        <w:jc w:val="center"/>
      </w:pPr>
      <w:r>
        <w:rPr>
          <w:rFonts w:ascii="Times New Roman" w:cs="Times New Roman" w:eastAsia="Times New Roman" w:hAnsi="Times New Roman"/>
          <w:b/>
          <w:bCs/>
          <w:sz w:val="20"/>
          <w:szCs w:val="20"/>
        </w:rPr>
        <w:t xml:space="preserve">VIII. CONCLUSION</w:t>
      </w:r>
    </w:p>
    <w:p>
      <w:pPr>
        <w:spacing w:after="120" w:line="252" w:lineRule="auto"/>
        <w:jc w:val="both"/>
      </w:pPr>
      <w:r>
        <w:rPr>
          <w:rFonts w:ascii="Times New Roman" w:cs="Times New Roman" w:eastAsia="Times New Roman" w:hAnsi="Times New Roman"/>
          <w:sz w:val="20"/>
          <w:szCs w:val="20"/>
        </w:rPr>
        <w:t xml:space="preserve">This paper presented a deep learning-based system for automated multi-class Alzheimer’s Disease detection from Brain MRI images using ResNet50 with Transfer Learning. The proposed pipeline—MRI preprocessing, data augmentation, ResNet50 feature extraction, and Softmax multi-class classification—targets four clinically meaningful Alzheimer’s stages: Non-Demented, Very Mild Demented, Mild Demented, and Moderate Demented. ResNet50’s residual connections enable effective gradient propagation through its 50 layers, and Transfer Learning from ImageNet provides a robust feature initialization that is fine-tuned for Brain MRI analysis. The trained model is deployed as a web-based prediction system that returns both a stage prediction and a confidence score, making the system accessible beyond the research laboratory.</w:t>
      </w:r>
    </w:p>
    <w:p>
      <w:pPr>
        <w:spacing w:after="120" w:line="252" w:lineRule="auto"/>
        <w:jc w:val="both"/>
      </w:pPr>
      <w:r>
        <w:rPr>
          <w:rFonts w:ascii="Times New Roman" w:cs="Times New Roman" w:eastAsia="Times New Roman" w:hAnsi="Times New Roman"/>
          <w:sz w:val="20"/>
          <w:szCs w:val="20"/>
        </w:rPr>
        <w:t xml:space="preserve">The proposed system is presented as an AI-assisted research and screening prototype. It is not intended to replace professional neurological or radiological diagnosis. All outputs should be interpreted in conjunction with clinical assessment by qualified medical professionals. Future work will focus on integrating Grad-CAM explainability, validating on hospital-collected MRI datasets, and exploring advanced architectures and multi-modal fusion to further improve four-class Alzheimer’s staging performance.</w:t>
      </w:r>
    </w:p>
    <w:p>
      <w:pPr>
        <w:keepNext/>
        <w:spacing w:after="120" w:before="200"/>
        <w:jc w:val="center"/>
      </w:pPr>
      <w:r>
        <w:rPr>
          <w:rFonts w:ascii="Times New Roman" w:cs="Times New Roman" w:eastAsia="Times New Roman" w:hAnsi="Times New Roman"/>
          <w:b/>
          <w:bCs/>
          <w:sz w:val="20"/>
          <w:szCs w:val="20"/>
        </w:rPr>
        <w:t xml:space="preserve">REFERENCES</w:t>
      </w:r>
    </w:p>
    <w:p>
      <w:pPr>
        <w:spacing w:after="80"/>
        <w:ind w:left="316" w:hanging="316"/>
        <w:jc w:val="both"/>
      </w:pPr>
      <w:r>
        <w:rPr>
          <w:rFonts w:ascii="Times New Roman" w:cs="Times New Roman" w:eastAsia="Times New Roman" w:hAnsi="Times New Roman"/>
          <w:sz w:val="18"/>
          <w:szCs w:val="18"/>
        </w:rPr>
        <w:t xml:space="preserve">[1]	H. V. Bansal, P. Gupta, and V. Juneja, “A multimodal deep learning framework using ResNet-101 and firefly-based feature selection for early diagnosis of dementia and Alzheimer’s disease,” IEEE Access, vol. 13, pp. 184709–184721, Oct. 2025.</w:t>
      </w:r>
    </w:p>
    <w:p>
      <w:pPr>
        <w:spacing w:after="80"/>
        <w:ind w:left="316" w:hanging="316"/>
        <w:jc w:val="both"/>
      </w:pPr>
      <w:r>
        <w:rPr>
          <w:rFonts w:ascii="Times New Roman" w:cs="Times New Roman" w:eastAsia="Times New Roman" w:hAnsi="Times New Roman"/>
          <w:sz w:val="18"/>
          <w:szCs w:val="18"/>
        </w:rPr>
        <w:t xml:space="preserve">[2]	G. Nandan, A. Lakshmanan, and M. T. A. Reddy, “Early detection of dementia disease using machine learning,” in Proc. 7th Int. Conf. Inventive Comput. Technol. (ICICT), 2024, pp. 163–168.</w:t>
      </w:r>
    </w:p>
    <w:p>
      <w:pPr>
        <w:spacing w:after="80"/>
        <w:ind w:left="316" w:hanging="316"/>
        <w:jc w:val="both"/>
      </w:pPr>
      <w:r>
        <w:rPr>
          <w:rFonts w:ascii="Times New Roman" w:cs="Times New Roman" w:eastAsia="Times New Roman" w:hAnsi="Times New Roman"/>
          <w:sz w:val="18"/>
          <w:szCs w:val="18"/>
        </w:rPr>
        <w:t xml:space="preserve">[3]	F. Khan, A. Zeb, and S. Ahmad, “Deep learning-based Alzheimer’s disease detection using brain MRI images,” IEEE Access, 2023.</w:t>
      </w:r>
    </w:p>
    <w:p>
      <w:pPr>
        <w:spacing w:after="80"/>
        <w:ind w:left="316" w:hanging="316"/>
        <w:jc w:val="both"/>
      </w:pPr>
      <w:r>
        <w:rPr>
          <w:rFonts w:ascii="Times New Roman" w:cs="Times New Roman" w:eastAsia="Times New Roman" w:hAnsi="Times New Roman"/>
          <w:sz w:val="18"/>
          <w:szCs w:val="18"/>
        </w:rPr>
        <w:t xml:space="preserve">[4]	M. Liu, J. Zhang, E. Adeli, and D. Shen, “Alzheimer’s disease classification using multi-scale CNN with attention on brain MRI scans,” Pattern Recognition, Elsevier, 2022.</w:t>
      </w:r>
    </w:p>
    <w:p>
      <w:pPr>
        <w:spacing w:after="80"/>
        <w:ind w:left="316" w:hanging="316"/>
        <w:jc w:val="both"/>
      </w:pPr>
      <w:r>
        <w:rPr>
          <w:rFonts w:ascii="Times New Roman" w:cs="Times New Roman" w:eastAsia="Times New Roman" w:hAnsi="Times New Roman"/>
          <w:sz w:val="18"/>
          <w:szCs w:val="18"/>
        </w:rPr>
        <w:t xml:space="preserve">[5]	V. Rajput, V. Singh, and A. Bala, “Explainable AI with Grad-CAM for Alzheimer’s MRI diagnosis,” Computers in Biology and Medicine, 2023.</w:t>
      </w:r>
    </w:p>
    <w:p>
      <w:pPr>
        <w:spacing w:after="80"/>
        <w:ind w:left="316" w:hanging="316"/>
        <w:jc w:val="both"/>
      </w:pPr>
      <w:r>
        <w:rPr>
          <w:rFonts w:ascii="Times New Roman" w:cs="Times New Roman" w:eastAsia="Times New Roman" w:hAnsi="Times New Roman"/>
          <w:sz w:val="18"/>
          <w:szCs w:val="18"/>
        </w:rPr>
        <w:t xml:space="preserve">[6]	H.-C. Chen, K.-C. Liu, and T.-P. Hong, “Attention-based Vision Transformer (ViT) for Alzheimer’s MRI classification,” Expert Systems with Applications, Elsevier, 2023.</w:t>
      </w:r>
    </w:p>
    <w:p>
      <w:pPr>
        <w:spacing w:after="80"/>
        <w:ind w:left="316" w:hanging="316"/>
        <w:jc w:val="both"/>
      </w:pPr>
      <w:r>
        <w:rPr>
          <w:rFonts w:ascii="Times New Roman" w:cs="Times New Roman" w:eastAsia="Times New Roman" w:hAnsi="Times New Roman"/>
          <w:sz w:val="18"/>
          <w:szCs w:val="18"/>
        </w:rPr>
        <w:t xml:space="preserve">[7]	K. He, X. Zhang, S. Ren, and J. Sun, “Deep residual learning for image recognition,” in Proc. IEEE Conf. Comput. Vis. Pattern Recognit. (CVPR), 2016, pp. 770–778.</w:t>
      </w:r>
    </w:p>
    <w:p>
      <w:pPr>
        <w:spacing w:after="80"/>
        <w:ind w:left="316" w:hanging="316"/>
        <w:jc w:val="both"/>
      </w:pPr>
      <w:r>
        <w:rPr>
          <w:rFonts w:ascii="Times New Roman" w:cs="Times New Roman" w:eastAsia="Times New Roman" w:hAnsi="Times New Roman"/>
          <w:sz w:val="18"/>
          <w:szCs w:val="18"/>
        </w:rPr>
        <w:t xml:space="preserve">[8]	M. Sandler, A. Howard, M. Zhu, A. Zhmoginov, and L. C. Chen, “MobileNetV2: Inverted residuals and linear bottlenecks,” in Proc. IEEE/CVF CVPR, 2018.</w:t>
      </w:r>
    </w:p>
    <w:p>
      <w:pPr>
        <w:spacing w:after="80"/>
        <w:ind w:left="316" w:hanging="316"/>
        <w:jc w:val="both"/>
      </w:pPr>
      <w:r>
        <w:rPr>
          <w:rFonts w:ascii="Times New Roman" w:cs="Times New Roman" w:eastAsia="Times New Roman" w:hAnsi="Times New Roman"/>
          <w:sz w:val="18"/>
          <w:szCs w:val="18"/>
        </w:rPr>
        <w:t xml:space="preserve">[9]	T. Jo, K. Nho, and A. Saykin, “Deep learning in Alzheimer’s disease: Diagnostic classification and prognostic prediction using neuroimaging data,” NeuroImage: Clinical, Elsevier, 2019.</w:t>
      </w:r>
    </w:p>
    <w:p>
      <w:pPr>
        <w:spacing w:after="80"/>
        <w:ind w:left="316" w:hanging="316"/>
        <w:jc w:val="both"/>
      </w:pPr>
      <w:r>
        <w:rPr>
          <w:rFonts w:ascii="Times New Roman" w:cs="Times New Roman" w:eastAsia="Times New Roman" w:hAnsi="Times New Roman"/>
          <w:sz w:val="18"/>
          <w:szCs w:val="18"/>
        </w:rPr>
        <w:t xml:space="preserve">[10]	M. Abadi et al., “TensorFlow: Large-scale machine learning on heterogeneous systems,” 2016.</w:t>
      </w:r>
    </w:p>
    <w:p>
      <w:pPr>
        <w:spacing w:after="80"/>
        <w:ind w:left="316" w:hanging="316"/>
        <w:jc w:val="both"/>
      </w:pPr>
      <w:r>
        <w:rPr>
          <w:rFonts w:ascii="Times New Roman" w:cs="Times New Roman" w:eastAsia="Times New Roman" w:hAnsi="Times New Roman"/>
          <w:sz w:val="18"/>
          <w:szCs w:val="18"/>
        </w:rPr>
        <w:t xml:space="preserve">[11]	F. Pedregosa et al., “Scikit-learn: Machine learning in Python,” J. Mach. Learn. Res., vol. 12, pp. 2825–2830, 2011.</w:t>
      </w:r>
    </w:p>
    <w:p>
      <w:pPr>
        <w:spacing w:after="80"/>
        <w:ind w:left="316" w:hanging="316"/>
        <w:jc w:val="both"/>
      </w:pPr>
      <w:r>
        <w:rPr>
          <w:rFonts w:ascii="Times New Roman" w:cs="Times New Roman" w:eastAsia="Times New Roman" w:hAnsi="Times New Roman"/>
          <w:sz w:val="18"/>
          <w:szCs w:val="18"/>
        </w:rPr>
        <w:t xml:space="preserve">[12]	World Health Organization, “Dementia,” WHO Fact Sheet, 2023. [Online]. Available: https://www.who.int/news-room/fact-sheets/detail/dementia.</w:t>
      </w:r>
    </w:p>
    <w:sectPr>
      <w:footerReference w:type="default" r:id="rId8"/>
      <w:type w:val="continuous"/>
      <w:pgSz w:w="12240" w:h="15840" w:orient="portrait"/>
      <w:pgMar w:top="1080" w:right="900" w:bottom="108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2026-08-19T05:00:33.304Z</dcterms:created>
  <dcterms:modified xsi:type="dcterms:W3CDTF">2026-08-19T05:00:33.304Z</dcterms:modified>
</cp:coreProperties>
</file>

<file path=docProps/custom.xml><?xml version="1.0" encoding="utf-8"?>
<Properties xmlns="http://schemas.openxmlformats.org/officeDocument/2006/custom-properties" xmlns:vt="http://schemas.openxmlformats.org/officeDocument/2006/docPropsVTypes"/>
</file>