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Insurance Risk &amp; Claims Analysis</w:t>
        <w:br/>
        <w:t>Executive Summary</w:t>
      </w:r>
    </w:p>
    <w:p>
      <w:r>
        <w:rPr>
          <w:sz w:val="22"/>
        </w:rPr>
        <w:t>This report provides a visually structured and data‑driven executive summary of the Insurance Risk &amp; Claims Analysis dashboard. It highlights key metrics, high‑risk segments, claim distribution patterns, and strategic insights to support decision‑making in underwriting, pricing, and fraud detection.</w:t>
      </w:r>
    </w:p>
    <w:p>
      <w:pPr>
        <w:pStyle w:val="Heading2"/>
      </w:pPr>
      <w:r>
        <w:t>1. Key Metrics Overview</w:t>
      </w:r>
    </w:p>
    <w:p>
      <w:pPr>
        <w:pStyle w:val="ListBullet"/>
      </w:pPr>
      <w:r>
        <w:t>• Total Policies Analyzed: 37,542</w:t>
      </w:r>
    </w:p>
    <w:p>
      <w:pPr>
        <w:pStyle w:val="ListBullet"/>
      </w:pPr>
      <w:r>
        <w:t>• Total Claim Amount: $187.8M</w:t>
      </w:r>
    </w:p>
    <w:p>
      <w:pPr>
        <w:pStyle w:val="ListBullet"/>
      </w:pPr>
      <w:r>
        <w:t>• Average Claim Frequency: 0.5</w:t>
      </w:r>
    </w:p>
    <w:p>
      <w:pPr>
        <w:pStyle w:val="ListBullet"/>
      </w:pPr>
      <w:r>
        <w:t>• Gender Split: ~18.7K Male, ~18.8K Female</w:t>
      </w:r>
    </w:p>
    <w:p>
      <w:pPr>
        <w:pStyle w:val="Heading2"/>
      </w:pPr>
      <w:r>
        <w:t>2. Major Claim Drivers</w:t>
      </w:r>
    </w:p>
    <w:p>
      <w:pPr>
        <w:pStyle w:val="ListBullet"/>
      </w:pPr>
      <w:r>
        <w:t>• Private vehicles contribute over 80% of total claims (~$150.4M), making them the largest risk segment.</w:t>
      </w:r>
    </w:p>
    <w:p>
      <w:pPr>
        <w:pStyle w:val="ListBullet"/>
      </w:pPr>
      <w:r>
        <w:t>• Commercial vehicles account for $37.4M in claims.</w:t>
      </w:r>
    </w:p>
    <w:p>
      <w:pPr>
        <w:pStyle w:val="ListBullet"/>
      </w:pPr>
      <w:r>
        <w:t>• Ford ($16.6M) and Chevrolet ($14.8M) are the top car makes with the highest claim amounts.</w:t>
      </w:r>
    </w:p>
    <w:p>
      <w:pPr>
        <w:pStyle w:val="Heading2"/>
      </w:pPr>
      <w:r>
        <w:t>3. Demographic &amp; Behavioral Insights</w:t>
      </w:r>
    </w:p>
    <w:p>
      <w:pPr>
        <w:pStyle w:val="ListBullet"/>
      </w:pPr>
      <w:r>
        <w:t>• Age groups 46–55 and 56–65 each contribute ~$35M in total claims, the highest among all groups.</w:t>
      </w:r>
    </w:p>
    <w:p>
      <w:pPr>
        <w:pStyle w:val="ListBullet"/>
      </w:pPr>
      <w:r>
        <w:t>• Kids driving (1st year) has a notable claim burden of ~$13.4M.</w:t>
      </w:r>
    </w:p>
    <w:p>
      <w:pPr>
        <w:pStyle w:val="ListBullet"/>
      </w:pPr>
      <w:r>
        <w:t>• Graduates and Masters holders contribute over 77% of total claim amounts.</w:t>
      </w:r>
    </w:p>
    <w:p>
      <w:pPr>
        <w:pStyle w:val="ListBullet"/>
      </w:pPr>
      <w:r>
        <w:t>• Married individuals show the highest combined claims at ~$50.6M.</w:t>
      </w:r>
    </w:p>
    <w:p>
      <w:pPr>
        <w:pStyle w:val="Heading2"/>
      </w:pPr>
      <w:r>
        <w:t>4. Geographic &amp; Trend Analysis</w:t>
      </w:r>
    </w:p>
    <w:p>
      <w:pPr>
        <w:pStyle w:val="ListBullet"/>
      </w:pPr>
      <w:r>
        <w:t>• Claims are evenly distributed across all coverage zones (19%–21%), indicating no extreme high‑risk geography.</w:t>
      </w:r>
    </w:p>
    <w:p>
      <w:pPr>
        <w:pStyle w:val="ListBullet"/>
      </w:pPr>
      <w:r>
        <w:t>• Claim amounts show an upward long‑term trend, with a significant peak in early 2000s.</w:t>
      </w:r>
    </w:p>
    <w:p>
      <w:pPr>
        <w:pStyle w:val="Heading2"/>
      </w:pPr>
      <w:r>
        <w:t>5. Strategic Insights &amp; Business Impact</w:t>
      </w:r>
    </w:p>
    <w:p>
      <w:pPr>
        <w:pStyle w:val="ListBullet"/>
      </w:pPr>
      <w:r>
        <w:t>• High‑risk vehicle types and car manufacturers identified for premium adjustments.</w:t>
      </w:r>
    </w:p>
    <w:p>
      <w:pPr>
        <w:pStyle w:val="ListBullet"/>
      </w:pPr>
      <w:r>
        <w:t>• Key demographic groups reveal predictable claim behavior helpful for risk segmentation.</w:t>
      </w:r>
    </w:p>
    <w:p>
      <w:pPr>
        <w:pStyle w:val="ListBullet"/>
      </w:pPr>
      <w:r>
        <w:t>• Even zone distribution suggests geographical risk is well‑balanced, lowering regional exposure risk.</w:t>
      </w:r>
    </w:p>
    <w:p>
      <w:pPr>
        <w:pStyle w:val="ListBullet"/>
      </w:pPr>
      <w:r>
        <w:t>• Insights support improved underwriting, pricing accuracy, and fraud detection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