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Executive Summary – Vendor Performance Analysis</w:t>
      </w:r>
    </w:p>
    <w:p/>
    <w:p>
      <w:r>
        <w:t>This analysis evaluates vendor performance across sales, purchases, unit prices, inventory turnover, and profitability. Multiple charts and statistical techniques were used to uncover actionable business insights.</w:t>
      </w:r>
    </w:p>
    <w:p/>
    <w:p>
      <w:r>
        <w:t>1. Data Overview &amp; Initial Observations</w:t>
      </w:r>
    </w:p>
    <w:p>
      <w:r>
        <w:t>- Negative or zero sales quantities indicate returns or stock adjustments.</w:t>
      </w:r>
    </w:p>
    <w:p>
      <w:r>
        <w:t>- Unsold stock shows forecasting or procurement inefficiencies.</w:t>
      </w:r>
    </w:p>
    <w:p/>
    <w:p>
      <w:r>
        <w:t>2. Sales &amp; Profitability Insights</w:t>
      </w:r>
    </w:p>
    <w:p>
      <w:r>
        <w:t>- Top vendors dominate revenue; top 10 vendors contribute 65.69% of total purchases.</w:t>
      </w:r>
    </w:p>
    <w:p>
      <w:r>
        <w:t>- Some brands have high sales but low margins; others low sales but high margins.</w:t>
      </w:r>
    </w:p>
    <w:p/>
    <w:p>
      <w:r>
        <w:t>3. Price Dynamics &amp; Bulk Purchasing</w:t>
      </w:r>
    </w:p>
    <w:p>
      <w:r>
        <w:t>- Bulk orders reduce unit price and improve cost efficiency.</w:t>
      </w:r>
    </w:p>
    <w:p>
      <w:r>
        <w:t>- Smaller orders often have higher unit pricing.</w:t>
      </w:r>
    </w:p>
    <w:p/>
    <w:p>
      <w:r>
        <w:t>4. Inventory Performance</w:t>
      </w:r>
    </w:p>
    <w:p>
      <w:r>
        <w:t>- Total capital locked in unsold inventory: ₹2.71M.</w:t>
      </w:r>
    </w:p>
    <w:p>
      <w:r>
        <w:t>- Some vendors contribute disproportionately to slow-moving inventory.</w:t>
      </w:r>
    </w:p>
    <w:p/>
    <w:p>
      <w:r>
        <w:t>5. Statistical Insights</w:t>
      </w:r>
    </w:p>
    <w:p>
      <w:r>
        <w:t>- 95% Confidence Intervals:</w:t>
      </w:r>
    </w:p>
    <w:p>
      <w:r>
        <w:t xml:space="preserve">  * Top Vendors: 30.74% – 31.61% (Mean: 31.18%)</w:t>
      </w:r>
    </w:p>
    <w:p>
      <w:r>
        <w:t xml:space="preserve">  * Low Vendors: 40.50% – 42.64% (Mean: 41.57%)</w:t>
      </w:r>
    </w:p>
    <w:p>
      <w:r>
        <w:t>- Significant difference in margins (p-value = 0.0000).</w:t>
      </w:r>
    </w:p>
    <w:p/>
    <w:p>
      <w:r>
        <w:t>6. Recommendations</w:t>
      </w:r>
    </w:p>
    <w:p>
      <w:r>
        <w:t>- Promote high-margin, low-sales brands.</w:t>
      </w:r>
    </w:p>
    <w:p>
      <w:r>
        <w:t>- Optimize bulk purchases.</w:t>
      </w:r>
    </w:p>
    <w:p>
      <w:r>
        <w:t>- Address inventory bottlenecks.</w:t>
      </w:r>
    </w:p>
    <w:p>
      <w:r>
        <w:t>- Reduce dependency on top vendors.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