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C258E3" w14:textId="7E736BE1" w:rsidR="009516C9" w:rsidRDefault="004E426D">
      <w:pPr>
        <w:pStyle w:val="Heading1"/>
        <w:jc w:val="both"/>
      </w:pPr>
      <w:r>
        <w:rPr>
          <w:rStyle w:val="StrongEmphasis"/>
          <w:rFonts w:ascii="Times New Roman" w:hAnsi="Times New Roman"/>
          <w:b/>
          <w:sz w:val="24"/>
          <w:szCs w:val="24"/>
        </w:rPr>
        <w:t>MutaGenX</w:t>
      </w:r>
    </w:p>
    <w:p w14:paraId="4DD8D1CF" w14:textId="77777777" w:rsidR="009516C9" w:rsidRDefault="00000000">
      <w:pPr>
        <w:pStyle w:val="Heading3"/>
        <w:jc w:val="both"/>
      </w:pPr>
      <w:r>
        <w:rPr>
          <w:rStyle w:val="Emphasis"/>
          <w:rFonts w:ascii="Times New Roman" w:hAnsi="Times New Roman"/>
          <w:sz w:val="24"/>
          <w:szCs w:val="24"/>
        </w:rPr>
        <w:t>AI-powered mutation perturbation and hotspot discovery platform</w:t>
      </w:r>
    </w:p>
    <w:p w14:paraId="11F5C7C5" w14:textId="2439DA8E" w:rsidR="009516C9" w:rsidRDefault="004E426D">
      <w:pPr>
        <w:pStyle w:val="BodyText"/>
        <w:jc w:val="both"/>
      </w:pPr>
      <w:proofErr w:type="spellStart"/>
      <w:r>
        <w:rPr>
          <w:rStyle w:val="StrongEmphasis"/>
          <w:rFonts w:ascii="Times New Roman" w:hAnsi="Times New Roman"/>
          <w:b w:val="0"/>
          <w:bCs w:val="0"/>
        </w:rPr>
        <w:t>MutaGenX</w:t>
      </w:r>
      <w:proofErr w:type="spellEnd"/>
      <w:r w:rsidR="00000000">
        <w:rPr>
          <w:rStyle w:val="StrongEmphasis"/>
          <w:rFonts w:ascii="Times New Roman" w:hAnsi="Times New Roman"/>
          <w:b w:val="0"/>
          <w:bCs w:val="0"/>
        </w:rPr>
        <w:t xml:space="preserve"> server allows users to </w:t>
      </w:r>
      <w:proofErr w:type="spellStart"/>
      <w:r w:rsidR="00000000">
        <w:rPr>
          <w:rStyle w:val="StrongEmphasis"/>
          <w:rFonts w:ascii="Times New Roman" w:hAnsi="Times New Roman"/>
          <w:b w:val="0"/>
          <w:bCs w:val="0"/>
        </w:rPr>
        <w:t>analyze</w:t>
      </w:r>
      <w:proofErr w:type="spellEnd"/>
      <w:r w:rsidR="00000000">
        <w:rPr>
          <w:rStyle w:val="StrongEmphasis"/>
          <w:rFonts w:ascii="Times New Roman" w:hAnsi="Times New Roman"/>
          <w:b w:val="0"/>
          <w:bCs w:val="0"/>
        </w:rPr>
        <w:t xml:space="preserve"> mutation-induced protein perturbations, disorder redistribution, residue interaction rewiring, and functional hotspots using AI-driven protein language models and explainable machine learning. The platform additionally predicts novel disruptive mutations through saturation mutagenesis and identifies highly interactive candidate residues and potential druggable regions associated with protein dynamics and functional regulation.</w:t>
      </w:r>
    </w:p>
    <w:p w14:paraId="1CFD94AE" w14:textId="77777777" w:rsidR="009516C9" w:rsidRDefault="009516C9">
      <w:pPr>
        <w:pStyle w:val="BodyText"/>
        <w:jc w:val="both"/>
        <w:rPr>
          <w:rFonts w:ascii="Times New Roman" w:hAnsi="Times New Roman"/>
        </w:rPr>
      </w:pPr>
    </w:p>
    <w:p w14:paraId="473D8EF5" w14:textId="52FB62F6" w:rsidR="009516C9" w:rsidRDefault="004E426D">
      <w:pPr>
        <w:pStyle w:val="Heading1"/>
        <w:jc w:val="both"/>
        <w:rPr>
          <w:rFonts w:ascii="Times New Roman" w:hAnsi="Times New Roman"/>
          <w:sz w:val="24"/>
          <w:szCs w:val="24"/>
        </w:rPr>
      </w:pPr>
      <w:proofErr w:type="spellStart"/>
      <w:r>
        <w:rPr>
          <w:rFonts w:ascii="Times New Roman" w:hAnsi="Times New Roman"/>
          <w:sz w:val="24"/>
          <w:szCs w:val="24"/>
        </w:rPr>
        <w:t>MutaGenX</w:t>
      </w:r>
      <w:proofErr w:type="spellEnd"/>
      <w:r w:rsidR="00000000">
        <w:rPr>
          <w:rFonts w:ascii="Times New Roman" w:hAnsi="Times New Roman"/>
          <w:sz w:val="24"/>
          <w:szCs w:val="24"/>
        </w:rPr>
        <w:t>-Manual</w:t>
      </w:r>
    </w:p>
    <w:p w14:paraId="1FA22C3D" w14:textId="77777777" w:rsidR="009516C9" w:rsidRDefault="00000000">
      <w:pPr>
        <w:pStyle w:val="BodyText"/>
        <w:numPr>
          <w:ilvl w:val="0"/>
          <w:numId w:val="1"/>
        </w:numPr>
        <w:tabs>
          <w:tab w:val="left" w:pos="709"/>
        </w:tabs>
        <w:jc w:val="both"/>
        <w:rPr>
          <w:rFonts w:ascii="Times New Roman" w:hAnsi="Times New Roman"/>
        </w:rPr>
      </w:pPr>
      <w:r>
        <w:rPr>
          <w:rFonts w:ascii="Times New Roman" w:hAnsi="Times New Roman"/>
        </w:rPr>
        <w:t xml:space="preserve">Either type or paste the input protein sequence(s) in FASTA format or upload FASTA files using the Browse button. The server requires one wild-type sequence and one or more mutant protein sequences for analysis. </w:t>
      </w:r>
    </w:p>
    <w:p w14:paraId="2B87F4D5" w14:textId="77777777" w:rsidR="009516C9" w:rsidRDefault="00000000">
      <w:pPr>
        <w:pStyle w:val="BodyText"/>
        <w:jc w:val="both"/>
      </w:pPr>
      <w:r>
        <w:rPr>
          <w:rStyle w:val="StrongEmphasis"/>
          <w:rFonts w:ascii="Times New Roman" w:hAnsi="Times New Roman"/>
        </w:rPr>
        <w:t xml:space="preserve">Note </w:t>
      </w:r>
      <w:proofErr w:type="gramStart"/>
      <w:r>
        <w:rPr>
          <w:rStyle w:val="StrongEmphasis"/>
          <w:rFonts w:ascii="Times New Roman" w:hAnsi="Times New Roman"/>
        </w:rPr>
        <w:t>1 :</w:t>
      </w:r>
      <w:proofErr w:type="gramEnd"/>
      <w:r>
        <w:rPr>
          <w:rFonts w:ascii="Times New Roman" w:hAnsi="Times New Roman"/>
        </w:rPr>
        <w:t xml:space="preserve"> The input sequences should contain only standard amino acids (A, R, N, D, C, Q, E, G, H, I, L, K, M, F, P, S, T, W, Y, V). The wild-type and mutant sequences must have identical sequence lengths.</w:t>
      </w:r>
    </w:p>
    <w:p w14:paraId="19C84C99" w14:textId="77777777" w:rsidR="009516C9" w:rsidRDefault="00000000">
      <w:pPr>
        <w:pStyle w:val="BodyText"/>
        <w:jc w:val="both"/>
      </w:pPr>
      <w:r>
        <w:rPr>
          <w:rStyle w:val="StrongEmphasis"/>
          <w:rFonts w:ascii="Times New Roman" w:hAnsi="Times New Roman"/>
        </w:rPr>
        <w:t xml:space="preserve">Note </w:t>
      </w:r>
      <w:proofErr w:type="gramStart"/>
      <w:r>
        <w:rPr>
          <w:rStyle w:val="StrongEmphasis"/>
          <w:rFonts w:ascii="Times New Roman" w:hAnsi="Times New Roman"/>
        </w:rPr>
        <w:t>2 :</w:t>
      </w:r>
      <w:proofErr w:type="gramEnd"/>
      <w:r>
        <w:rPr>
          <w:rFonts w:ascii="Times New Roman" w:hAnsi="Times New Roman"/>
        </w:rPr>
        <w:t xml:space="preserve"> The submitted FASTA files should not contain empty lines. At least one amino acid mutation must exist between the wild-type and mutant sequences.</w:t>
      </w:r>
    </w:p>
    <w:p w14:paraId="342F4C6B" w14:textId="77777777" w:rsidR="009516C9" w:rsidRDefault="00000000">
      <w:pPr>
        <w:pStyle w:val="BodyText"/>
        <w:numPr>
          <w:ilvl w:val="0"/>
          <w:numId w:val="2"/>
        </w:numPr>
        <w:tabs>
          <w:tab w:val="left" w:pos="709"/>
        </w:tabs>
        <w:spacing w:after="0"/>
        <w:jc w:val="both"/>
        <w:rPr>
          <w:rFonts w:ascii="Times New Roman" w:hAnsi="Times New Roman"/>
        </w:rPr>
      </w:pPr>
      <w:r>
        <w:rPr>
          <w:rFonts w:ascii="Times New Roman" w:hAnsi="Times New Roman"/>
        </w:rPr>
        <w:t xml:space="preserve">Click on the Submit button to start the analysis. The webserver uses transformer-based protein language models, intrinsic disorder prediction, and explainable machine learning to investigate mutation-induced perturbations and functional rewiring. </w:t>
      </w:r>
    </w:p>
    <w:p w14:paraId="15937F9D" w14:textId="77777777" w:rsidR="009516C9" w:rsidRDefault="00000000">
      <w:pPr>
        <w:pStyle w:val="BodyText"/>
        <w:numPr>
          <w:ilvl w:val="0"/>
          <w:numId w:val="2"/>
        </w:numPr>
        <w:tabs>
          <w:tab w:val="left" w:pos="709"/>
        </w:tabs>
        <w:spacing w:after="0"/>
        <w:jc w:val="both"/>
        <w:rPr>
          <w:rFonts w:ascii="Times New Roman" w:hAnsi="Times New Roman"/>
        </w:rPr>
      </w:pPr>
      <w:r>
        <w:rPr>
          <w:rFonts w:ascii="Times New Roman" w:hAnsi="Times New Roman"/>
        </w:rPr>
        <w:t xml:space="preserve">Upon submission, the prediction results are displayed on the screen, including perturbation profiles, disorder redistribution, mutation impact scores, functional hotspots, saturation mutagenesis results, and candidate druggable residues. Users may optionally download the generated output files and plots. </w:t>
      </w:r>
    </w:p>
    <w:p w14:paraId="56935C3C" w14:textId="77777777" w:rsidR="009516C9" w:rsidRDefault="00000000">
      <w:pPr>
        <w:pStyle w:val="BodyText"/>
        <w:numPr>
          <w:ilvl w:val="0"/>
          <w:numId w:val="2"/>
        </w:numPr>
        <w:tabs>
          <w:tab w:val="left" w:pos="709"/>
        </w:tabs>
        <w:spacing w:after="0"/>
        <w:jc w:val="both"/>
        <w:rPr>
          <w:rFonts w:ascii="Times New Roman" w:hAnsi="Times New Roman"/>
        </w:rPr>
      </w:pPr>
      <w:r>
        <w:rPr>
          <w:rFonts w:ascii="Times New Roman" w:hAnsi="Times New Roman"/>
        </w:rPr>
        <w:t xml:space="preserve">The server additionally performs saturation mutagenesis-based novel mutation prediction to identify highly disruptive mutations and highly interactive functional residues potentially associated with allosteric regulation and therapeutic targeting. </w:t>
      </w:r>
    </w:p>
    <w:p w14:paraId="6E465E75" w14:textId="3B0AE449" w:rsidR="009516C9" w:rsidRDefault="00000000">
      <w:pPr>
        <w:pStyle w:val="BodyText"/>
        <w:numPr>
          <w:ilvl w:val="0"/>
          <w:numId w:val="2"/>
        </w:numPr>
        <w:tabs>
          <w:tab w:val="left" w:pos="709"/>
        </w:tabs>
        <w:jc w:val="both"/>
        <w:rPr>
          <w:rFonts w:ascii="Times New Roman" w:hAnsi="Times New Roman"/>
        </w:rPr>
      </w:pPr>
      <w:r>
        <w:rPr>
          <w:rFonts w:ascii="Times New Roman" w:hAnsi="Times New Roman"/>
        </w:rPr>
        <w:t xml:space="preserve">The Test Run button allows users to </w:t>
      </w:r>
      <w:proofErr w:type="spellStart"/>
      <w:r>
        <w:rPr>
          <w:rFonts w:ascii="Times New Roman" w:hAnsi="Times New Roman"/>
        </w:rPr>
        <w:t>analyze</w:t>
      </w:r>
      <w:proofErr w:type="spellEnd"/>
      <w:r>
        <w:rPr>
          <w:rFonts w:ascii="Times New Roman" w:hAnsi="Times New Roman"/>
        </w:rPr>
        <w:t xml:space="preserve"> an example dataset and explore the corresponding mutation perturbation and hotspot analysis results generated by </w:t>
      </w:r>
      <w:proofErr w:type="spellStart"/>
      <w:r w:rsidR="004E426D">
        <w:rPr>
          <w:rFonts w:ascii="Times New Roman" w:hAnsi="Times New Roman"/>
        </w:rPr>
        <w:t>MutaGenX</w:t>
      </w:r>
      <w:proofErr w:type="spellEnd"/>
      <w:r>
        <w:rPr>
          <w:rFonts w:ascii="Times New Roman" w:hAnsi="Times New Roman"/>
        </w:rPr>
        <w:t>.</w:t>
      </w:r>
    </w:p>
    <w:p w14:paraId="1CA2A797" w14:textId="77777777" w:rsidR="009516C9" w:rsidRDefault="009516C9">
      <w:pPr>
        <w:jc w:val="both"/>
        <w:rPr>
          <w:rFonts w:ascii="Times New Roman" w:hAnsi="Times New Roman"/>
        </w:rPr>
      </w:pPr>
    </w:p>
    <w:sectPr w:rsidR="009516C9">
      <w:pgSz w:w="11906" w:h="16838"/>
      <w:pgMar w:top="1134" w:right="1134" w:bottom="1134" w:left="1134" w:header="0" w:footer="0" w:gutter="0"/>
      <w:cols w:space="720"/>
      <w:formProt w:val="0"/>
      <w:docGrid w:linePitch="1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charset w:val="01"/>
    <w:family w:val="swiss"/>
    <w:pitch w:val="variable"/>
  </w:font>
  <w:font w:name="Noto Serif CJK SC">
    <w:panose1 w:val="00000000000000000000"/>
    <w:charset w:val="00"/>
    <w:family w:val="roman"/>
    <w:notTrueType/>
    <w:pitch w:val="default"/>
  </w:font>
  <w:font w:name="Lohit Devanagari">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roman"/>
    <w:pitch w:val="variable"/>
  </w:font>
  <w:font w:name="Noto Sans CJK SC">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F04A93"/>
    <w:multiLevelType w:val="multilevel"/>
    <w:tmpl w:val="BD02A902"/>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 w15:restartNumberingAfterBreak="0">
    <w:nsid w:val="77473C5D"/>
    <w:multiLevelType w:val="multilevel"/>
    <w:tmpl w:val="E8CC87C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7A6424FC"/>
    <w:multiLevelType w:val="multilevel"/>
    <w:tmpl w:val="03D8D88E"/>
    <w:lvl w:ilvl="0">
      <w:start w:val="2"/>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num w:numId="1" w16cid:durableId="1608808432">
    <w:abstractNumId w:val="0"/>
  </w:num>
  <w:num w:numId="2" w16cid:durableId="901601982">
    <w:abstractNumId w:val="2"/>
  </w:num>
  <w:num w:numId="3" w16cid:durableId="16304315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16C9"/>
    <w:rsid w:val="004E426D"/>
    <w:rsid w:val="009516C9"/>
    <w:rsid w:val="00A1446F"/>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DFD76A"/>
  <w15:docId w15:val="{EB1F3A11-9F17-421A-9F9C-EDCC0088C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Lohit Devanagari"/>
        <w:kern w:val="2"/>
        <w:sz w:val="24"/>
        <w:szCs w:val="24"/>
        <w:lang w:val="en-IN"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
    <w:next w:val="BodyText"/>
    <w:uiPriority w:val="9"/>
    <w:qFormat/>
    <w:pPr>
      <w:outlineLvl w:val="0"/>
    </w:pPr>
    <w:rPr>
      <w:rFonts w:ascii="Liberation Serif" w:eastAsia="Noto Serif CJK SC" w:hAnsi="Liberation Serif"/>
      <w:b/>
      <w:bCs/>
      <w:sz w:val="48"/>
      <w:szCs w:val="48"/>
    </w:rPr>
  </w:style>
  <w:style w:type="paragraph" w:styleId="Heading3">
    <w:name w:val="heading 3"/>
    <w:basedOn w:val="Heading"/>
    <w:next w:val="BodyText"/>
    <w:uiPriority w:val="9"/>
    <w:unhideWhenUsed/>
    <w:qFormat/>
    <w:pPr>
      <w:spacing w:before="140"/>
      <w:outlineLvl w:val="2"/>
    </w:pPr>
    <w:rPr>
      <w:rFonts w:ascii="Liberation Serif" w:eastAsia="Noto Serif CJK SC" w:hAnsi="Liberation Serif"/>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umberingSymbols">
    <w:name w:val="Numbering Symbols"/>
    <w:qFormat/>
  </w:style>
  <w:style w:type="character" w:customStyle="1" w:styleId="StrongEmphasis">
    <w:name w:val="Strong Emphasis"/>
    <w:qFormat/>
    <w:rPr>
      <w:b/>
      <w:bCs/>
    </w:rPr>
  </w:style>
  <w:style w:type="character" w:styleId="Emphasis">
    <w:name w:val="Emphasis"/>
    <w:qFormat/>
    <w:rPr>
      <w:i/>
      <w:iCs/>
    </w:rPr>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314</Words>
  <Characters>1792</Characters>
  <Application>Microsoft Office Word</Application>
  <DocSecurity>0</DocSecurity>
  <Lines>14</Lines>
  <Paragraphs>4</Paragraphs>
  <ScaleCrop>false</ScaleCrop>
  <Company/>
  <LinksUpToDate>false</LinksUpToDate>
  <CharactersWithSpaces>2102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Prashasti Sinha</cp:lastModifiedBy>
  <cp:revision>3</cp:revision>
  <dcterms:created xsi:type="dcterms:W3CDTF">2026-05-16T18:18:00Z</dcterms:created>
  <dcterms:modified xsi:type="dcterms:W3CDTF">2026-05-22T13:45:00Z</dcterms:modified>
  <dc:language>en-IN</dc:language>
</cp:coreProperties>
</file>