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rPr>
          <w:trHeight w:val="3600" w:hRule="atLeast"/>
        </w:trPr>
        <w:tc>
          <w:tcPr>
            <w:tcW w:type="dxa" w:w="9906"/>
            <w:shd w:fill="1F3A5F" w:color="auto" w:val="clear"/>
            <w:tcMar>
              <w:top w:type="dxa" w:w="500"/>
              <w:left w:type="dxa" w:w="600"/>
              <w:bottom w:type="dxa" w:w="500"/>
              <w:right w:type="dxa" w:w="600"/>
            </w:tcMar>
            <w:vAlign w:val="center"/>
          </w:tcPr>
          <w:p>
            <w:pPr>
              <w:spacing w:after="200" w:before="0" w:line="276"/>
            </w:pPr>
            <w:r>
              <w:rPr>
                <w:rFonts w:ascii="Calibri" w:cs="Calibri" w:eastAsia="Calibri" w:hAnsi="Calibri"/>
                <w:b/>
                <w:bCs/>
                <w:color w:val="B6D4E3"/>
                <w:spacing w:val="60"/>
                <w:sz w:val="22"/>
                <w:szCs w:val="22"/>
              </w:rPr>
              <w:t xml:space="preserve">PAYROLL MIS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Payroll MIS Reports</w:t>
            </w:r>
          </w:p>
          <w:p>
            <w:pPr>
              <w:spacing w:after="240" w:before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Test Report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DCE8F0"/>
                <w:sz w:val="24"/>
                <w:szCs w:val="24"/>
              </w:rPr>
              <w:t xml:space="preserve">Reports 1–7 and the new-hire summary, tested end to end on in-memory mock data</w:t>
            </w:r>
          </w:p>
        </w:tc>
      </w:tr>
    </w:tbl>
    <w:p>
      <w:pPr>
        <w:spacing w:after="50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69"/>
        <w:gridCol w:w="6737"/>
      </w:tblGrid>
      <w:tr>
        <w:tc>
          <w:tcPr>
            <w:tcW w:type="dxa" w:w="3169"/>
            <w:shd w:fill="15803D" w:color="auto" w:val="clear"/>
            <w:tcMar>
              <w:top w:type="dxa" w:w="260"/>
              <w:left w:type="dxa" w:w="200"/>
              <w:bottom w:type="dxa" w:w="260"/>
              <w:right w:type="dxa" w:w="2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✔  PASS</w:t>
            </w:r>
          </w:p>
        </w:tc>
        <w:tc>
          <w:tcPr>
            <w:tcW w:type="dxa" w:w="6737"/>
            <w:shd w:fill="DCFCE7" w:color="auto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6"/>
                <w:szCs w:val="26"/>
              </w:rPr>
              <w:t xml:space="preserve">204 of 204 tests passed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475467"/>
                <w:sz w:val="19"/>
                <w:szCs w:val="19"/>
              </w:rPr>
              <w:t xml:space="preserve">347 of 347 expected-vs-actual figures matched · 0 failed · 0 skipped</w:t>
            </w:r>
          </w:p>
        </w:tc>
      </w:tr>
    </w:tbl>
    <w:p>
      <w:pPr>
        <w:spacing w:after="600"/>
      </w:pPr>
    </w:p>
    <w:tbl>
      <w:tblPr>
        <w:tblW w:type="dxa" w:w="9906"/>
        <w:tblBorders>
          <w:top w:val="single" w:color="D0D5DD" w:sz="4"/>
          <w:left w:val="none" w:color="FFFFFF" w:sz="0"/>
          <w:bottom w:val="single" w:color="D0D5DD" w:sz="4"/>
          <w:right w:val="none" w:color="FFFFFF" w:sz="0"/>
          <w:insideH w:val="single" w:color="D0D5DD" w:sz="4"/>
          <w:insideV w:val="none" w:color="FFFFFF" w:sz="0"/>
        </w:tblBorders>
        <w:tblLayout w:type="fixed"/>
      </w:tblPr>
      <w:tblGrid>
        <w:gridCol w:w="2773"/>
        <w:gridCol w:w="7133"/>
      </w:tblGrid>
      <w:tr>
        <w:tc>
          <w:tcPr>
            <w:tcW w:type="dxa" w:w="277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67085"/>
                <w:sz w:val="20"/>
                <w:szCs w:val="20"/>
              </w:rPr>
              <w:t xml:space="preserve">Company</w:t>
            </w:r>
          </w:p>
        </w:tc>
        <w:tc>
          <w:tcPr>
            <w:tcW w:type="dxa" w:w="713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01828"/>
                <w:sz w:val="20"/>
                <w:szCs w:val="20"/>
              </w:rPr>
              <w:t xml:space="preserve">Indus Fire Safety Pvt. Ltd.</w:t>
            </w:r>
          </w:p>
        </w:tc>
      </w:tr>
      <w:tr>
        <w:tc>
          <w:tcPr>
            <w:tcW w:type="dxa" w:w="277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67085"/>
                <w:sz w:val="20"/>
                <w:szCs w:val="20"/>
              </w:rPr>
              <w:t xml:space="preserve">Test date</w:t>
            </w:r>
          </w:p>
        </w:tc>
        <w:tc>
          <w:tcPr>
            <w:tcW w:type="dxa" w:w="713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01828"/>
                <w:sz w:val="20"/>
                <w:szCs w:val="20"/>
              </w:rPr>
              <w:t xml:space="preserve">10 October 2026</w:t>
            </w:r>
          </w:p>
        </w:tc>
      </w:tr>
      <w:tr>
        <w:tc>
          <w:tcPr>
            <w:tcW w:type="dxa" w:w="277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67085"/>
                <w:sz w:val="20"/>
                <w:szCs w:val="20"/>
              </w:rPr>
              <w:t xml:space="preserve">State</w:t>
            </w:r>
          </w:p>
        </w:tc>
        <w:tc>
          <w:tcPr>
            <w:tcW w:type="dxa" w:w="713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01828"/>
                <w:sz w:val="20"/>
                <w:szCs w:val="20"/>
              </w:rPr>
              <w:t xml:space="preserve">Gujarat (all mock employees and statutory rules)</w:t>
            </w:r>
          </w:p>
        </w:tc>
      </w:tr>
      <w:tr>
        <w:tc>
          <w:tcPr>
            <w:tcW w:type="dxa" w:w="277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67085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13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01828"/>
                <w:sz w:val="20"/>
                <w:szCs w:val="20"/>
              </w:rPr>
              <w:t xml:space="preserve">In-memory mock data (no database used)</w:t>
            </w:r>
          </w:p>
        </w:tc>
      </w:tr>
      <w:tr>
        <w:tc>
          <w:tcPr>
            <w:tcW w:type="dxa" w:w="277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67085"/>
                <w:sz w:val="20"/>
                <w:szCs w:val="20"/>
              </w:rPr>
              <w:t xml:space="preserve">Data viewed as on</w:t>
            </w:r>
          </w:p>
        </w:tc>
        <w:tc>
          <w:tcPr>
            <w:tcW w:type="dxa" w:w="713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01828"/>
                <w:sz w:val="20"/>
                <w:szCs w:val="20"/>
              </w:rPr>
              <w:t xml:space="preserve">10 October 2026 (system date mocked)</w:t>
            </w:r>
          </w:p>
        </w:tc>
      </w:tr>
      <w:tr>
        <w:tc>
          <w:tcPr>
            <w:tcW w:type="dxa" w:w="277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67085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33"/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01828"/>
                <w:sz w:val="20"/>
                <w:szCs w:val="20"/>
              </w:rPr>
              <w:t xml:space="preserve">AI coding agent (Cursor) — generated automatically</w:t>
            </w:r>
          </w:p>
        </w:tc>
      </w:tr>
    </w:tbl>
    <w:p>
      <w:pPr>
        <w:spacing w:after="900"/>
      </w:pPr>
    </w:p>
    <w:p>
      <w:pPr>
        <w:spacing w:after="120" w:before="0" w:line="276"/>
        <w:jc w:val="center"/>
        <w:sectPr>
          <w:pgSz w:w="11906" w:h="16838" w:orient="portrait"/>
          <w:pgMar w:top="1100" w:right="1000" w:bottom="1000" w:left="1000" w:header="500" w:footer="450" w:gutter="0"/>
          <w:pgNumType/>
          <w:titlePg/>
          <w:docGrid w:linePitch="360"/>
        </w:sectPr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Contains placeholder data only (MOCK-E employee codes, fake UAN / ESIC numbers, @example.test addresses). No real employee data and no database were used.</w:t>
      </w:r>
    </w:p>
    <w:p>
      <w:pPr>
        <w:pStyle w:val="Heading1"/>
        <w:keepNext/>
        <w:pBdr>
          <w:bottom w:val="single" w:color="2E6F8E" w:sz="12" w:space="4"/>
        </w:pBdr>
        <w:spacing w:after="200"/>
      </w:pPr>
      <w:bookmarkStart w:name="_Toc1" w:id="1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1.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Executive summary</w:t>
      </w:r>
      <w:bookmarkEnd w:id="1"/>
    </w:p>
    <w:tbl>
      <w:tblPr>
        <w:tblW w:type="dxa" w:w="99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85"/>
        <w:gridCol w:w="120"/>
        <w:gridCol w:w="1885"/>
        <w:gridCol w:w="120"/>
        <w:gridCol w:w="1885"/>
        <w:gridCol w:w="120"/>
        <w:gridCol w:w="1885"/>
        <w:gridCol w:w="120"/>
        <w:gridCol w:w="1885"/>
      </w:tblGrid>
      <w:tr>
        <w:tc>
          <w:tcPr>
            <w:tcW w:type="dxa" w:w="1885"/>
            <w:shd w:fill="EEF2F6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36"/>
                <w:szCs w:val="36"/>
              </w:rPr>
              <w:t xml:space="preserve">204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475467"/>
                <w:sz w:val="17"/>
                <w:szCs w:val="17"/>
              </w:rPr>
              <w:t xml:space="preserve">Tests run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85"/>
            <w:shd w:fill="DCFCE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36"/>
                <w:szCs w:val="36"/>
              </w:rPr>
              <w:t xml:space="preserve">204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475467"/>
                <w:sz w:val="17"/>
                <w:szCs w:val="17"/>
              </w:rPr>
              <w:t xml:space="preserve">Passed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85"/>
            <w:shd w:fill="EEF2F6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467"/>
                <w:sz w:val="36"/>
                <w:szCs w:val="36"/>
              </w:rPr>
              <w:t xml:space="preserve">0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475467"/>
                <w:sz w:val="17"/>
                <w:szCs w:val="17"/>
              </w:rPr>
              <w:t xml:space="preserve">Failed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85"/>
            <w:shd w:fill="EEF2F6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467"/>
                <w:sz w:val="36"/>
                <w:szCs w:val="36"/>
              </w:rPr>
              <w:t xml:space="preserve">0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475467"/>
                <w:sz w:val="17"/>
                <w:szCs w:val="17"/>
              </w:rPr>
              <w:t xml:space="preserve">Skipped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885"/>
            <w:shd w:fill="DCFCE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36"/>
                <w:szCs w:val="36"/>
              </w:rPr>
              <w:t xml:space="preserve">347/347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475467"/>
                <w:sz w:val="17"/>
                <w:szCs w:val="17"/>
              </w:rPr>
              <w:t xml:space="preserve">Figures matched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All 204 automated tests passed on in-memory Gujarat mock data. Every sample figure of Reports 1–7 and the new-hire summary was reproduced, and every cross-report tie-out holds: Total CTC agrees across Reports 1, 3, 4 and 5 (₹70,17,000 for Sep 2026), the Report 2 drivers add up exactly to the change, and Report 6 deposits equal the Report 7 tracker amounts. No database, network, storage or email was touched.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Results by area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953"/>
        <w:gridCol w:w="1089"/>
        <w:gridCol w:w="1089"/>
        <w:gridCol w:w="1089"/>
        <w:gridCol w:w="1684"/>
      </w:tblGrid>
      <w:tr>
        <w:trPr>
          <w:cantSplit/>
          <w:tblHeader/>
        </w:trPr>
        <w:tc>
          <w:tcPr>
            <w:tcW w:type="dxa" w:w="495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08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108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Passed</w:t>
            </w:r>
          </w:p>
        </w:tc>
        <w:tc>
          <w:tcPr>
            <w:tcW w:type="dxa" w:w="108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Failed</w:t>
            </w:r>
          </w:p>
        </w:tc>
        <w:tc>
          <w:tcPr>
            <w:tcW w:type="dxa" w:w="168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1 — Monthly Payroll Summary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2 — Month-on-Month Variance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3 — CTC Cost Summary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✔  Pass *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4 — Vertical-wise Payroll Cost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5 — Department-wise Payroll Cost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6 — Statutory Contribution Summary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✔  Pass *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7 — Compliance Due-Date and Payment Tracker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New-hire Summary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Cross-report tie-outs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Common rules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 / unlock / re-lock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Filters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Colours, Unassigned row and shared-staff allocation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7 statuses, mark paid, challan upload and alerts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Drill-downs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and logging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Exports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95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side effects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8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spacing w:after="120" w:before="8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* Passes against an adjusted value because the spec figure cannot be produced under real Gujarat / PF rules — see the report section and “Defects / open issues”.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Gujarat LWF: </w:t>
      </w:r>
      <w:r>
        <w:rPr>
          <w:rFonts w:ascii="Calibri" w:cs="Calibri" w:eastAsia="Calibri" w:hAnsi="Calibri"/>
          <w:sz w:val="20"/>
          <w:szCs w:val="20"/>
        </w:rPr>
        <w:t xml:space="preserve">Spec LWF YTD ₹6,200 is not a multiple of ₹12; the mock uses ₹2,880 and carries the difference in June gross, so Total CTC stays exact.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PF rounding: </w:t>
      </w:r>
      <w:r>
        <w:rPr>
          <w:rFonts w:ascii="Calibri" w:cs="Calibri" w:eastAsia="Calibri" w:hAnsi="Calibri"/>
          <w:sz w:val="20"/>
          <w:szCs w:val="20"/>
        </w:rPr>
        <w:t xml:space="preserve">12% of ₹34,15,000 is ₹4,09,800, so the PF wage base comes out at ₹34,15,783 to give exactly ₹4,10,000.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Compliance calendar: </w:t>
      </w:r>
      <w:r>
        <w:rPr>
          <w:rFonts w:ascii="Calibri" w:cs="Calibri" w:eastAsia="Calibri" w:hAnsi="Calibri"/>
          <w:sz w:val="20"/>
          <w:szCs w:val="20"/>
        </w:rPr>
        <w:t xml:space="preserve">March TDS shows due 07 April instead of 30 April, and a quarterly Gujarat PT rule cannot be set up.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 covered here: </w:t>
      </w:r>
      <w:r>
        <w:rPr>
          <w:rFonts w:ascii="Calibri" w:cs="Calibri" w:eastAsia="Calibri" w:hAnsi="Calibri"/>
          <w:sz w:val="20"/>
          <w:szCs w:val="20"/>
        </w:rPr>
        <w:t xml:space="preserve">SQL-side logic (snapshot build, trigger, row-level security) is covered by npm run payroll:check:mis, not by this run.</w:t>
      </w:r>
    </w:p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2" w:id="2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2.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Contents</w:t>
      </w:r>
      <w:bookmarkEnd w:id="2"/>
    </w:p>
    <w:sdt>
      <w:sdtPr>
        <w:alias w:val="Contents"/>
      </w:sdtPr>
      <w:sdtContent>
        <w:p>
          <w:pPr>
            <w:pStyle w:val="TOC1"/>
            <w:tabs>
              <w:tab w:val="right" w:pos="9906" w:leader="dot"/>
            </w:tabs>
          </w:pPr>
          <w:r>
            <w:fldChar w:fldCharType="begin" w:dirty="true"/>
            <w:instrText xml:space="preserve">TOC \h \o "1-1"</w:instrText>
            <w:fldChar w:fldCharType="separate"/>
          </w:r>
          <w:hyperlink w:history="1" w:anchor="_Toc1">
            <w:r>
              <w:t xml:space="preserve">1.  Executive summary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2">
            <w:r>
              <w:t xml:space="preserve">2.  Contents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3">
            <w:r>
              <w:t xml:space="preserve">3.  Test approach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4">
            <w:r>
              <w:t xml:space="preserve">4.  Report 1 — Monthly Payroll Summary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5">
            <w:r>
              <w:t xml:space="preserve">5.  Report 2 — Month-on-Month Variance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6">
            <w:r>
              <w:t xml:space="preserve">6.  Report 3 — CTC Cost Summary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7">
            <w:r>
              <w:t xml:space="preserve">7.  Report 4 — Vertical-wise Payroll Cost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8">
            <w:r>
              <w:t xml:space="preserve">8.  Report 5 — Department-wise Payroll Cost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9">
            <w:r>
              <w:t xml:space="preserve">9.  Cross-report tie-out matrix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0">
            <w:r>
              <w:t xml:space="preserve">10.  Report 6 — Statutory Contribution Summary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1">
            <w:r>
              <w:t xml:space="preserve">11.  Report 7 — Compliance Due-Date and Payment Tracker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2">
            <w:r>
              <w:t xml:space="preserve">12.  New-hire Summary (fixture for later Report 8)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3">
            <w:r>
              <w:t xml:space="preserve">13.  Common rules, filters, access, exports, status and colour tests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4">
            <w:r>
              <w:t xml:space="preserve">14.  Defects / open issues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5">
            <w:r>
              <w:t xml:space="preserve">15.  Coverage gaps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6" w:leader="dot"/>
            </w:tabs>
          </w:pPr>
          <w:hyperlink w:history="1" w:anchor="_Toc16">
            <w:r>
              <w:t xml:space="preserve">16.  Appendix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before="12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Page numbers fill in when the document is opened in Word (accept the prompt to update fields).</w:t>
      </w:r>
    </w:p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3" w:id="3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3.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Test approach</w:t>
      </w:r>
      <w:bookmarkEnd w:id="3"/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3.1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What was tested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The same JavaScript modules the Payroll MIS screens use: report builders (aggregation, drivers, Change %, rounding, colour and status rules, filters, shared-staff allocation), download layouts and export builders (Excel, PDF, CSV), the data-access layer and the daily compliance alert job.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3.2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What was mocked, and why no data was touched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 client: </w:t>
      </w:r>
      <w:r>
        <w:rPr>
          <w:rFonts w:ascii="Calibri" w:cs="Calibri" w:eastAsia="Calibri" w:hAnsi="Calibri"/>
          <w:sz w:val="20"/>
          <w:szCs w:val="20"/>
        </w:rPr>
        <w:t xml:space="preserve">Replaced with an in-memory stand-in that answers the same tables and services from the fixture; every call is logged and none leaves the process.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 guard: </w:t>
      </w:r>
      <w:r>
        <w:rPr>
          <w:rFonts w:ascii="Calibri" w:cs="Calibri" w:eastAsia="Calibri" w:hAnsi="Calibri"/>
          <w:sz w:val="20"/>
          <w:szCs w:val="20"/>
        </w:rPr>
        <w:t xml:space="preserve">fetch, XMLHttpRequest and WebSocket are replaced so any real call fails the run; creating a real database client is blocked.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Storage: </w:t>
      </w:r>
      <w:r>
        <w:rPr>
          <w:rFonts w:ascii="Calibri" w:cs="Calibri" w:eastAsia="Calibri" w:hAnsi="Calibri"/>
          <w:sz w:val="20"/>
          <w:szCs w:val="20"/>
        </w:rPr>
        <w:t xml:space="preserve">Challan upload and signed links go to an in-memory list.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Email: </w:t>
      </w:r>
      <w:r>
        <w:rPr>
          <w:rFonts w:ascii="Calibri" w:cs="Calibri" w:eastAsia="Calibri" w:hAnsi="Calibri"/>
          <w:sz w:val="20"/>
          <w:szCs w:val="20"/>
        </w:rPr>
        <w:t xml:space="preserve">The mail sender is mocked; recipients are placeholder @example.test addresses.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 </w:t>
      </w:r>
      <w:r>
        <w:rPr>
          <w:rFonts w:ascii="Calibri" w:cs="Calibri" w:eastAsia="Calibri" w:hAnsi="Calibri"/>
          <w:sz w:val="20"/>
          <w:szCs w:val="20"/>
        </w:rPr>
        <w:t xml:space="preserve">The system date is fixed at 10 Oct 2026, 11:00 IST.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Lock lifecycle: </w:t>
      </w:r>
      <w:r>
        <w:rPr>
          <w:rFonts w:ascii="Calibri" w:cs="Calibri" w:eastAsia="Calibri" w:hAnsi="Calibri"/>
          <w:sz w:val="20"/>
          <w:szCs w:val="20"/>
        </w:rPr>
        <w:t xml:space="preserve">Lock, unlock and re-lock are simulated in memory, including the snapshot replacement and the one-row-per-statute tracker.</w:t>
      </w:r>
    </w:p>
    <w:p>
      <w:pPr>
        <w:spacing w:after="120" w:before="80" w:line="276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No migration, seed script or SQL was written or run, and no row was written to any database.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3.3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Sample verticals mapped to billing verticals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971"/>
        <w:gridCol w:w="4457"/>
        <w:gridCol w:w="2476"/>
      </w:tblGrid>
      <w:tr>
        <w:trPr>
          <w:cantSplit/>
          <w:tblHeader/>
        </w:trPr>
        <w:tc>
          <w:tcPr>
            <w:tcW w:type="dxa" w:w="297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 sample</w:t>
            </w:r>
          </w:p>
        </w:tc>
        <w:tc>
          <w:tcPr>
            <w:tcW w:type="dxa" w:w="445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Billing vertical used</w:t>
            </w:r>
          </w:p>
        </w:tc>
        <w:tc>
          <w:tcPr>
            <w:tcW w:type="dxa" w:w="247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Paid in Sep 2026</w:t>
            </w:r>
          </w:p>
        </w:tc>
      </w:tr>
      <w:tr>
        <w:trPr>
          <w:cantSplit/>
        </w:trPr>
        <w:tc>
          <w:tcPr>
            <w:tcW w:type="dxa" w:w="2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A</w:t>
            </w:r>
          </w:p>
        </w:tc>
        <w:tc>
          <w:tcPr>
            <w:tcW w:type="dxa" w:w="44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Manpower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</w:tr>
      <w:tr>
        <w:trPr>
          <w:cantSplit/>
        </w:trPr>
        <w:tc>
          <w:tcPr>
            <w:tcW w:type="dxa" w:w="297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B</w:t>
            </w:r>
          </w:p>
        </w:tc>
        <w:tc>
          <w:tcPr>
            <w:tcW w:type="dxa" w:w="44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AMC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297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C</w:t>
            </w:r>
          </w:p>
        </w:tc>
        <w:tc>
          <w:tcPr>
            <w:tcW w:type="dxa" w:w="44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Projects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297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</w:t>
            </w:r>
          </w:p>
        </w:tc>
        <w:tc>
          <w:tcPr>
            <w:tcW w:type="dxa" w:w="44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 (shared)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3.4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Gujarat and central rates used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1783"/>
        <w:gridCol w:w="2674"/>
        <w:gridCol w:w="1386"/>
        <w:gridCol w:w="4061"/>
      </w:tblGrid>
      <w:tr>
        <w:trPr>
          <w:cantSplit/>
          <w:tblHeader/>
        </w:trPr>
        <w:tc>
          <w:tcPr>
            <w:tcW w:type="dxa" w:w="178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7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used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6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/ note</w:t>
            </w:r>
          </w:p>
        </w:tc>
      </w:tr>
      <w:tr>
        <w:trPr>
          <w:cantSplit/>
        </w:trPr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 employee / employer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12% / 12% of PF wages; EPS 8.33% up to ₹15,000; EDLI 0.5%; admin 0.5%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Verified</w:t>
            </w:r>
          </w:p>
        </w:tc>
        <w:tc>
          <w:tcPr>
            <w:tcW w:type="dxa" w:w="40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EPF Scheme 1952 / EPFO notifications (admin 0.5% from 1 Jun 2018)</w:t>
            </w:r>
          </w:p>
        </w:tc>
      </w:tr>
      <w:tr>
        <w:trPr>
          <w:cantSplit/>
        </w:trPr>
        <w:tc>
          <w:tcPr>
            <w:tcW w:type="dxa" w:w="178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 employee / employer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0.75% / 3.25%; wage ceiling ₹21,000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Verified</w:t>
            </w:r>
          </w:p>
        </w:tc>
        <w:tc>
          <w:tcPr>
            <w:tcW w:type="dxa" w:w="406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ESIC notification, rates effective 1 Jul 2019</w:t>
            </w:r>
          </w:p>
        </w:tc>
      </w:tr>
      <w:tr>
        <w:trPr>
          <w:cantSplit/>
        </w:trPr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 Professional Tax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Nil up to ₹12,000; ₹200 a month above</w:t>
            </w:r>
          </w:p>
        </w:tc>
        <w:tc>
          <w:tcPr>
            <w:tcW w:type="dxa" w:w="1386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Partly verified</w:t>
            </w:r>
          </w:p>
        </w:tc>
        <w:tc>
          <w:tcPr>
            <w:tcW w:type="dxa" w:w="40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 PT Act 1976, slab revised 1 Apr 2022 — published summaries differ on whether exactly ₹12,000 is taxable</w:t>
            </w:r>
          </w:p>
        </w:tc>
      </w:tr>
      <w:tr>
        <w:trPr>
          <w:cantSplit/>
        </w:trPr>
        <w:tc>
          <w:tcPr>
            <w:tcW w:type="dxa" w:w="178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 PT due date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15th of the next month</w:t>
            </w:r>
          </w:p>
        </w:tc>
        <w:tc>
          <w:tcPr>
            <w:tcW w:type="dxa" w:w="1386"/>
            <w:shd w:fill="FEE2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Unconfirmed</w:t>
            </w:r>
          </w:p>
        </w:tc>
        <w:tc>
          <w:tcPr>
            <w:tcW w:type="dxa" w:w="406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Sources differ: monthly by the 15th vs quarterly (15 days after quarter end) for employers with 20+ employees. Monthly is used so the spec sample (only Sep pending) ties</w:t>
            </w:r>
          </w:p>
        </w:tc>
      </w:tr>
      <w:tr>
        <w:trPr>
          <w:cantSplit/>
        </w:trPr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 LWF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₹6 / employer ₹12 per half-year; June and December; pay by 15 July / 15 January</w:t>
            </w:r>
          </w:p>
        </w:tc>
        <w:tc>
          <w:tcPr>
            <w:tcW w:type="dxa" w:w="1386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Partly verified</w:t>
            </w:r>
          </w:p>
        </w:tc>
        <w:tc>
          <w:tcPr>
            <w:tcW w:type="dxa" w:w="40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 Labour Welfare Fund Act 1953 s.6B(3) for dates; the ₹6/₹12 amounts are widely published but the gazette notification could not be traced (the Act text still says ₹3/₹6)</w:t>
            </w:r>
          </w:p>
        </w:tc>
      </w:tr>
      <w:tr>
        <w:trPr>
          <w:cantSplit/>
        </w:trPr>
        <w:tc>
          <w:tcPr>
            <w:tcW w:type="dxa" w:w="178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TDS on salary due date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7th of the next month (March: 30 April)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Verified</w:t>
            </w:r>
          </w:p>
        </w:tc>
        <w:tc>
          <w:tcPr>
            <w:tcW w:type="dxa" w:w="406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Income-tax Rules, rule 30</w:t>
            </w:r>
          </w:p>
        </w:tc>
      </w:tr>
      <w:tr>
        <w:trPr>
          <w:cantSplit/>
        </w:trPr>
        <w:tc>
          <w:tcPr>
            <w:tcW w:type="dxa" w:w="17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 / ESI due dates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15th of the next month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Verified</w:t>
            </w:r>
          </w:p>
        </w:tc>
        <w:tc>
          <w:tcPr>
            <w:tcW w:type="dxa" w:w="406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EPF Scheme para 38; ESI (Central) Regulations reg. 31</w:t>
            </w:r>
          </w:p>
        </w:tc>
      </w:tr>
    </w:tbl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4" w:id="4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4.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Report 1 — Monthly Payroll Summary</w:t>
      </w:r>
      <w:bookmarkEnd w:id="4"/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14 of 14 checks pass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4.1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Headcount, gross, deductions, net, employer cost, Total CTC and overtime for the month against the previous locked month, with Change % and colour flags.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4.2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Mock data used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169"/>
        <w:gridCol w:w="6736"/>
      </w:tblGrid>
      <w:tr>
        <w:trPr>
          <w:cantSplit/>
          <w:tblHeader/>
        </w:trPr>
        <w:tc>
          <w:tcPr>
            <w:tcW w:type="dxa" w:w="31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3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 / previous month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2026 / Aug 2026 (both locked)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rows Sep / Aug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252 / 240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employees Sep / Aug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248 / 240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Stored in the snapshot overtime field — mock values only; real payroll overtime is 0 today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4.3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Report view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Actual values as the report lays them out; green = matches the spec, amber = matches the adjusted value, red = mismatch.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773"/>
        <w:gridCol w:w="3566"/>
        <w:gridCol w:w="3566"/>
      </w:tblGrid>
      <w:tr>
        <w:trPr>
          <w:cantSplit/>
          <w:tblHeader/>
        </w:trPr>
        <w:tc>
          <w:tcPr>
            <w:tcW w:type="dxa" w:w="277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356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Sep</w:t>
            </w:r>
          </w:p>
        </w:tc>
        <w:tc>
          <w:tcPr>
            <w:tcW w:type="dxa" w:w="356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Aug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Headcount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248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earnings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62,40,000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60,10,000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deductions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8,71,000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8,45,200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salary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53,69,000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51,64,800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statutory &amp; provisions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7,77,000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7,51,000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CTC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70,17,000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67,61,000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2,10,000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1,65,000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4.4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Expected vs actual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Headcount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248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248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Headcount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earnings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62,40,000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62,40,000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earnings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60,10,000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60,10,000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deductions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8,71,000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8,71,000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deductions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8,45,200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8,45,200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salary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53,69,000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53,69,000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 salary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51,64,800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51,64,800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statutory &amp; provisions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7,77,000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7,77,000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statutory &amp; provisions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7,51,000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CTC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CTC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67,61,000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67,61,000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2,10,000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2,10,000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1,65,000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1,65,000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5" w:id="5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5.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Report 2 — Month-on-Month Variance</w:t>
      </w:r>
      <w:bookmarkEnd w:id="5"/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22 of 22 checks pass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5.1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Explains the CTC change from Aug to Sep employee by employee: joiners, exits, increments, overtime, incentives and arrears, loss of pay, other and employer cost.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5.2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Mock data used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169"/>
        <w:gridCol w:w="6736"/>
      </w:tblGrid>
      <w:tr>
        <w:trPr>
          <w:cantSplit/>
          <w:tblHeader/>
        </w:trPr>
        <w:tc>
          <w:tcPr>
            <w:tcW w:type="dxa" w:w="31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3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joiners (Sep)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(joined 10 Sep 2026, 21 of 30 days paid)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Exits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(last paid in Aug, exit date 01 Sep 2026)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Increments effective Sep 2026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 (MOCK-E0128 +7,000, MOCK-E0184 +5,000, MOCK-E0241 +10,000)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drill-down codes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MOCK-E0731, MOCK-E0688, MOCK-E0912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Incentives / arrears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Stored in the snapshot incentive and arrears fields — mock values only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5.3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Report view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Actual values as the report lays them out; green = matches the spec, amber = matches the adjusted value, red = mismatch.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773"/>
        <w:gridCol w:w="3566"/>
        <w:gridCol w:w="3566"/>
      </w:tblGrid>
      <w:tr>
        <w:trPr>
          <w:cantSplit/>
          <w:tblHeader/>
        </w:trPr>
        <w:tc>
          <w:tcPr>
            <w:tcW w:type="dxa" w:w="277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356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356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joiners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1,96,000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Exits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−58,000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Increments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22,000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45,000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Incentives &amp; arrears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18,000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Loss of pay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−14,000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21,000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cost</w:t>
            </w:r>
          </w:p>
        </w:tc>
        <w:tc>
          <w:tcPr>
            <w:tcW w:type="dxa" w:w="356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26,000</w:t>
            </w:r>
          </w:p>
        </w:tc>
        <w:tc>
          <w:tcPr>
            <w:tcW w:type="dxa" w:w="356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5.4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Expected vs actual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joiners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1,96,000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1,96,000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joiners — employees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Exits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−58,000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Exits — employees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Increments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Increments — employees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— employees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Incentives &amp; arrears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Incentives &amp; arrears — employees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Loss of pay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−14,000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−14,000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Loss of pay — employees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— employees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cost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drill-down MOCK-E0731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drill-down MOCK-E0731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11,800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11,800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drill-down MOCK-E0688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drill-down MOCK-E0688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9,500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9,500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drill-down MOCK-E0912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drill-down MOCK-E0912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drill-down MOCK-E0912 vertical / dept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amc / Service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amc / Service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6" w:id="6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6.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Report 3 — CTC Cost Summary</w:t>
      </w:r>
      <w:bookmarkEnd w:id="6"/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27 of 27 checks pass</w:t>
            </w: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   ·   * asserted against the adjusted value explained below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6.1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Every cost element for the month, the previous month and YTD (Apr–Sep 2026), with each element’s share of Total CTC.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6.2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Mock data used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169"/>
        <w:gridCol w:w="6736"/>
      </w:tblGrid>
      <w:tr>
        <w:trPr>
          <w:cantSplit/>
          <w:tblHeader/>
        </w:trPr>
        <w:tc>
          <w:tcPr>
            <w:tcW w:type="dxa" w:w="31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3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YTD months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2026-04, 2026-05, 2026-06, 2026-07, 2026-08, 2026-09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 encashment provision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to 0 in every month so the spec totals tie exactly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Apr–Aug: CTC mediclaim fallback (no premium entered). Sep: group policy ₹7,20,000 / year ÷ 12 = ₹60,000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 LWF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June only: ₹6 employee / ₹12 employer × 240 employees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6.3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Report view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Actual values as the report lays them out; green = matches the spec, amber = matches the adjusted value, red = mismatch.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773"/>
        <w:gridCol w:w="2377"/>
        <w:gridCol w:w="2377"/>
        <w:gridCol w:w="2377"/>
      </w:tblGrid>
      <w:tr>
        <w:trPr>
          <w:cantSplit/>
          <w:tblHeader/>
        </w:trPr>
        <w:tc>
          <w:tcPr>
            <w:tcW w:type="dxa" w:w="277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237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Sep</w:t>
            </w:r>
          </w:p>
        </w:tc>
        <w:tc>
          <w:tcPr>
            <w:tcW w:type="dxa" w:w="237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Aug</w:t>
            </w:r>
          </w:p>
        </w:tc>
        <w:tc>
          <w:tcPr>
            <w:tcW w:type="dxa" w:w="237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62,40,000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60,10,000</w:t>
            </w:r>
          </w:p>
        </w:tc>
        <w:tc>
          <w:tcPr>
            <w:tcW w:type="dxa" w:w="2377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3,58,23,320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PF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4,10,000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3,96,000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23,60,000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ESI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52,000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50,500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3,02,000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LWF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2377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2,880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Gratuity provision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1,50,000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1,44,500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8,65,000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 provision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1,05,000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1,02,000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6,05,000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 encashment provision (set to 0)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60,000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58,000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3,50,000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CTC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70,17,000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67,61,000</w:t>
            </w:r>
          </w:p>
        </w:tc>
        <w:tc>
          <w:tcPr>
            <w:tcW w:type="dxa" w:w="2377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4,03,08,200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6.4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Expected vs actual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62,40,000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62,40,000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60,10,000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60,10,000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Gross — YTD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3,58,20,000 (spec)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3,58,23,320</w:t>
            </w:r>
          </w:p>
        </w:tc>
        <w:tc>
          <w:tcPr>
            <w:tcW w:type="dxa" w:w="1386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✔  Pass *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PF — Sep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PF — Aug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3,96,000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3,96,000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PF — YTD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23,60,000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23,60,000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ESI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ESI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50,500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50,500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ESI — YTD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3,02,000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3,02,000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LWF — Sep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LWF — Aug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Employer LWF — YTD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6,200 (spec)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2,880</w:t>
            </w:r>
          </w:p>
        </w:tc>
        <w:tc>
          <w:tcPr>
            <w:tcW w:type="dxa" w:w="1386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✔  Pass *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Gratuity provision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1,50,000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1,50,000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Gratuity provision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1,44,500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1,44,500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Gratuity provision — YTD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8,65,000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8,65,000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 provision — Sep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1,05,000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 provision — Aug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1,02,000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1,02,000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 provision — YTD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6,05,000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6,05,000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 encashment provision (set to 0)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 encashment provision (set to 0)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Leave encashment provision (set to 0) — YTD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 — Sep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 — Aug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 — YTD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CTC —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CTC — Aug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67,61,000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67,61,000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CTC — YTD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6.5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Notes on gaps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Gross — YTD: </w:t>
      </w:r>
      <w:r>
        <w:rPr>
          <w:rFonts w:ascii="Calibri" w:cs="Calibri" w:eastAsia="Calibri" w:hAnsi="Calibri"/>
          <w:sz w:val="20"/>
          <w:szCs w:val="20"/>
        </w:rPr>
        <w:t xml:space="preserve">spec 3,58,20,000, actual 3,58,23,320. Carries the LWF difference above, so Total CTC YTD stays 4,03,08,200.</w:t>
      </w:r>
    </w:p>
    <w:p>
      <w:pPr>
        <w:pStyle w:val="ListParagraph"/>
        <w:numPr>
          <w:ilvl w:val="0"/>
          <w:numId w:val="1"/>
        </w:numPr>
        <w:spacing w:after="60" w:line="264"/>
        <w:sectPr>
          <w:headerReference w:type="default" r:id="rId6"/>
          <w:footerReference w:type="default" r:id="rId7"/>
          <w:pgSz w:w="11906" w:h="16838" w:orient="portrait"/>
          <w:pgMar w:top="1100" w:right="1000" w:bottom="1000" w:left="1000" w:header="500" w:footer="450" w:gutter="0"/>
          <w:pgNumType/>
          <w:docGrid w:linePitch="360"/>
        </w:sect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Employer LWF — YTD: </w:t>
      </w:r>
      <w:r>
        <w:rPr>
          <w:rFonts w:ascii="Calibri" w:cs="Calibri" w:eastAsia="Calibri" w:hAnsi="Calibri"/>
          <w:sz w:val="20"/>
          <w:szCs w:val="20"/>
        </w:rPr>
        <w:t xml:space="preserve">spec 6,200, actual 2,880. Gujarat LWF employer ₹12 × 240 employees on the June register = 2,880. 6,200 is not a multiple of 12 (nearest: 517 employees → 6,204), and the mock company has ~240 staff. The difference is held in June gross of the same vertical so every Total CTC (month, YTD, vertical) stays exact.</w:t>
      </w:r>
    </w:p>
    <w:p>
      <w:pPr>
        <w:pStyle w:val="Heading1"/>
        <w:keepNext/>
        <w:pBdr>
          <w:bottom w:val="single" w:color="2E6F8E" w:sz="12" w:space="4"/>
        </w:pBdr>
        <w:spacing w:after="200"/>
      </w:pPr>
      <w:bookmarkStart w:name="_Toc7" w:id="7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7.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Report 4 — Vertical-wise Payroll Cost</w:t>
      </w:r>
      <w:bookmarkEnd w:id="7"/>
    </w:p>
    <w:tbl>
      <w:tblPr>
        <w:tblW w:type="dxa" w:w="150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38"/>
      </w:tblGrid>
      <w:tr>
        <w:tc>
          <w:tcPr>
            <w:tcW w:type="dxa" w:w="15038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24 of 24 checks pass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7.1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Headcount, gross, employer cost and Total CTC per vertical, share of total, previous month and YTD.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7.2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Mock data used</w:t>
      </w:r>
    </w:p>
    <w:tbl>
      <w:tblPr>
        <w:tblW w:type="dxa" w:w="15037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812"/>
        <w:gridCol w:w="10225"/>
      </w:tblGrid>
      <w:tr>
        <w:trPr>
          <w:cantSplit/>
          <w:tblHeader/>
        </w:trPr>
        <w:tc>
          <w:tcPr>
            <w:tcW w:type="dxa" w:w="481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22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4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A</w:t>
            </w:r>
          </w:p>
        </w:tc>
        <w:tc>
          <w:tcPr>
            <w:tcW w:type="dxa" w:w="102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Manpower — 96 paid in Sep</w:t>
            </w:r>
          </w:p>
        </w:tc>
      </w:tr>
      <w:tr>
        <w:trPr>
          <w:cantSplit/>
        </w:trPr>
        <w:tc>
          <w:tcPr>
            <w:tcW w:type="dxa" w:w="4812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B</w:t>
            </w:r>
          </w:p>
        </w:tc>
        <w:tc>
          <w:tcPr>
            <w:tcW w:type="dxa" w:w="1022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AMC — 72 paid in Sep</w:t>
            </w:r>
          </w:p>
        </w:tc>
      </w:tr>
      <w:tr>
        <w:trPr>
          <w:cantSplit/>
        </w:trPr>
        <w:tc>
          <w:tcPr>
            <w:tcW w:type="dxa" w:w="4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C</w:t>
            </w:r>
          </w:p>
        </w:tc>
        <w:tc>
          <w:tcPr>
            <w:tcW w:type="dxa" w:w="102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Projects — 58 paid in Sep</w:t>
            </w:r>
          </w:p>
        </w:tc>
      </w:tr>
      <w:tr>
        <w:trPr>
          <w:cantSplit/>
        </w:trPr>
        <w:tc>
          <w:tcPr>
            <w:tcW w:type="dxa" w:w="4812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</w:t>
            </w:r>
          </w:p>
        </w:tc>
        <w:tc>
          <w:tcPr>
            <w:tcW w:type="dxa" w:w="1022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 (shared) — 22 paid in Sep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7.3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Report view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Actual values as the report lays them out; green = matches the spec, amber = matches the adjusted value, red = mismatch.</w:t>
      </w:r>
    </w:p>
    <w:tbl>
      <w:tblPr>
        <w:tblW w:type="dxa" w:w="1503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210"/>
        <w:gridCol w:w="1804"/>
        <w:gridCol w:w="1804"/>
        <w:gridCol w:w="1804"/>
        <w:gridCol w:w="1804"/>
        <w:gridCol w:w="1804"/>
        <w:gridCol w:w="1804"/>
      </w:tblGrid>
      <w:tr>
        <w:trPr>
          <w:cantSplit/>
          <w:tblHeader/>
        </w:trPr>
        <w:tc>
          <w:tcPr>
            <w:tcW w:type="dxa" w:w="421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Gross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Employer cost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CTC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Aug CTC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YTD CTC</w:t>
            </w:r>
          </w:p>
        </w:tc>
      </w:tr>
      <w:tr>
        <w:trPr>
          <w:cantSplit/>
        </w:trPr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(Manpower)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96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23,40,000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2,95,000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26,35,000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25,10,000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1,49,80,000</w:t>
            </w:r>
          </w:p>
        </w:tc>
      </w:tr>
      <w:tr>
        <w:trPr>
          <w:cantSplit/>
        </w:trPr>
        <w:tc>
          <w:tcPr>
            <w:tcW w:type="dxa" w:w="421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(AMC)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72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18,30,000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2,25,000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20,55,000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20,10,000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1,19,40,000</w:t>
            </w:r>
          </w:p>
        </w:tc>
      </w:tr>
      <w:tr>
        <w:trPr>
          <w:cantSplit/>
        </w:trPr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(Projects)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58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14,50,000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1,78,000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16,28,000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16,05,000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94,60,000</w:t>
            </w:r>
          </w:p>
        </w:tc>
      </w:tr>
      <w:tr>
        <w:trPr>
          <w:cantSplit/>
        </w:trPr>
        <w:tc>
          <w:tcPr>
            <w:tcW w:type="dxa" w:w="421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22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6,20,000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79,000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6,99,000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6,36,000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39,28,200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7.4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Expected vs actual</w:t>
      </w:r>
    </w:p>
    <w:tbl>
      <w:tblPr>
        <w:tblW w:type="dxa" w:w="1503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6616"/>
        <w:gridCol w:w="3157"/>
        <w:gridCol w:w="3157"/>
        <w:gridCol w:w="2105"/>
      </w:tblGrid>
      <w:tr>
        <w:trPr>
          <w:cantSplit/>
          <w:tblHeader/>
        </w:trPr>
        <w:tc>
          <w:tcPr>
            <w:tcW w:type="dxa" w:w="661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315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15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1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(Manpower)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(Manpower) — Gross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23,40,000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23,40,000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(Manpower) — Employer cost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2,95,000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2,95,000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(Manpower) — Total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(Manpower) — Aug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25,10,000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25,10,000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(Manpower) — YTD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1,49,80,000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1,49,80,000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(AMC)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(AMC) — Gross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18,30,000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18,30,000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(AMC) — Employer cost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2,25,000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2,25,000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(AMC) — Total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20,55,000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20,55,000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(AMC) — Aug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20,10,000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20,10,000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 (AMC) — YTD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1,19,40,000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1,19,40,000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(Projects)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(Projects) — Gross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14,50,000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14,50,000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(Projects) — Employer cost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1,78,000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1,78,000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(Projects) — Total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16,28,000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16,28,000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(Projects) — Aug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16,05,000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16,05,000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 (Projects) — YTD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94,60,000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94,60,000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 — Gross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 — Employer cost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 — Total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6,99,000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6,99,000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 — Aug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6,36,000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6,36,000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Corporate — YTD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39,28,200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39,28,200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8" w:id="8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8.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Report 5 — Department-wise Payroll Cost</w:t>
      </w:r>
      <w:bookmarkEnd w:id="8"/>
    </w:p>
    <w:tbl>
      <w:tblPr>
        <w:tblW w:type="dxa" w:w="150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38"/>
      </w:tblGrid>
      <w:tr>
        <w:tc>
          <w:tcPr>
            <w:tcW w:type="dxa" w:w="15038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28 of 28 checks pass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8.1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Department rows inside each vertical with headcount, CTC, average CTC, overtime, hires, exits and change.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8.2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Mock data used</w:t>
      </w:r>
    </w:p>
    <w:tbl>
      <w:tblPr>
        <w:tblW w:type="dxa" w:w="15037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812"/>
        <w:gridCol w:w="10225"/>
      </w:tblGrid>
      <w:tr>
        <w:trPr>
          <w:cantSplit/>
          <w:tblHeader/>
        </w:trPr>
        <w:tc>
          <w:tcPr>
            <w:tcW w:type="dxa" w:w="4812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022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4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A — Operations / Field</w:t>
            </w:r>
          </w:p>
        </w:tc>
        <w:tc>
          <w:tcPr>
            <w:tcW w:type="dxa" w:w="102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58 paid in Sep</w:t>
            </w:r>
          </w:p>
        </w:tc>
      </w:tr>
      <w:tr>
        <w:trPr>
          <w:cantSplit/>
        </w:trPr>
        <w:tc>
          <w:tcPr>
            <w:tcW w:type="dxa" w:w="4812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A — Sales &amp; Business Dev.</w:t>
            </w:r>
          </w:p>
        </w:tc>
        <w:tc>
          <w:tcPr>
            <w:tcW w:type="dxa" w:w="1022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paid in Sep</w:t>
            </w:r>
          </w:p>
        </w:tc>
      </w:tr>
      <w:tr>
        <w:trPr>
          <w:cantSplit/>
        </w:trPr>
        <w:tc>
          <w:tcPr>
            <w:tcW w:type="dxa" w:w="4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A — Service &amp; Maintenance</w:t>
            </w:r>
          </w:p>
        </w:tc>
        <w:tc>
          <w:tcPr>
            <w:tcW w:type="dxa" w:w="1022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paid in Sep</w:t>
            </w:r>
          </w:p>
        </w:tc>
      </w:tr>
      <w:tr>
        <w:trPr>
          <w:cantSplit/>
        </w:trPr>
        <w:tc>
          <w:tcPr>
            <w:tcW w:type="dxa" w:w="4812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A — Admin &amp; Accounts</w:t>
            </w:r>
          </w:p>
        </w:tc>
        <w:tc>
          <w:tcPr>
            <w:tcW w:type="dxa" w:w="1022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 paid in Sep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8.3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Report view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Actual values as the report lays them out; green = matches the spec, amber = matches the adjusted value, red = mismatch.</w:t>
      </w:r>
    </w:p>
    <w:tbl>
      <w:tblPr>
        <w:tblW w:type="dxa" w:w="1503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210"/>
        <w:gridCol w:w="1804"/>
        <w:gridCol w:w="1804"/>
        <w:gridCol w:w="1804"/>
        <w:gridCol w:w="1804"/>
        <w:gridCol w:w="1804"/>
        <w:gridCol w:w="1804"/>
      </w:tblGrid>
      <w:tr>
        <w:trPr>
          <w:cantSplit/>
          <w:tblHeader/>
        </w:trPr>
        <w:tc>
          <w:tcPr>
            <w:tcW w:type="dxa" w:w="421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Headcount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CTC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OT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Hires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Exits</w:t>
            </w:r>
          </w:p>
        </w:tc>
        <w:tc>
          <w:tcPr>
            <w:tcW w:type="dxa" w:w="180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Aug CTC</w:t>
            </w:r>
          </w:p>
        </w:tc>
      </w:tr>
      <w:tr>
        <w:trPr>
          <w:cantSplit/>
        </w:trPr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Field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58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14,20,000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82,000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13,35,000</w:t>
            </w:r>
          </w:p>
        </w:tc>
      </w:tr>
      <w:tr>
        <w:trPr>
          <w:cantSplit/>
        </w:trPr>
        <w:tc>
          <w:tcPr>
            <w:tcW w:type="dxa" w:w="421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&amp; Business Dev.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14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5,10,000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4,75,000</w:t>
            </w:r>
          </w:p>
        </w:tc>
      </w:tr>
      <w:tr>
        <w:trPr>
          <w:cantSplit/>
        </w:trPr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&amp; Maintenance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16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4,25,000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23,000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4,20,000</w:t>
            </w:r>
          </w:p>
        </w:tc>
      </w:tr>
      <w:tr>
        <w:trPr>
          <w:cantSplit/>
        </w:trPr>
        <w:tc>
          <w:tcPr>
            <w:tcW w:type="dxa" w:w="421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&amp; Accounts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8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2,80,000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2,80,000</w:t>
            </w:r>
          </w:p>
        </w:tc>
      </w:tr>
      <w:tr>
        <w:trPr>
          <w:cantSplit/>
        </w:trPr>
        <w:tc>
          <w:tcPr>
            <w:tcW w:type="dxa" w:w="42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Grand total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248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2,10,000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12</w:t>
            </w:r>
          </w:p>
        </w:tc>
        <w:tc>
          <w:tcPr>
            <w:tcW w:type="dxa" w:w="1804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</w:t>
            </w:r>
          </w:p>
        </w:tc>
        <w:tc>
          <w:tcPr>
            <w:tcW w:type="dxa" w:w="18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8.4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Expected vs actual</w:t>
      </w:r>
    </w:p>
    <w:tbl>
      <w:tblPr>
        <w:tblW w:type="dxa" w:w="1503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6616"/>
        <w:gridCol w:w="3157"/>
        <w:gridCol w:w="3157"/>
        <w:gridCol w:w="2105"/>
      </w:tblGrid>
      <w:tr>
        <w:trPr>
          <w:cantSplit/>
          <w:tblHeader/>
        </w:trPr>
        <w:tc>
          <w:tcPr>
            <w:tcW w:type="dxa" w:w="661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315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15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1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Field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Field — Total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14,20,000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14,20,000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Field — OT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Field — Hires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Field — Exits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Field — Aug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13,35,000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13,35,000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&amp; Business Dev.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&amp; Business Dev. — Total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5,10,000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5,10,000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&amp; Business Dev. — OT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&amp; Business Dev. — Hires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&amp; Business Dev. — Exits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&amp; Business Dev. — Aug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4,75,000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4,75,000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&amp; Maintenance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&amp; Maintenance — Total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4,25,000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&amp; Maintenance — OT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&amp; Maintenance — Hires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&amp; Maintenance — Exits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&amp; Maintenance — Aug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&amp; Accounts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&amp; Accounts — Total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&amp; Accounts — OT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&amp; Accounts — Hires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&amp; Accounts — Exits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&amp; Accounts — Aug CTC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Grand total — Headcount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248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248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Grand total — OT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2,10,000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2,10,000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Grand total — Hires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Grand total — Exits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9" w:id="9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9.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Cross-report tie-out matrix</w:t>
      </w:r>
      <w:bookmarkEnd w:id="9"/>
    </w:p>
    <w:tbl>
      <w:tblPr>
        <w:tblW w:type="dxa" w:w="150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38"/>
      </w:tblGrid>
      <w:tr>
        <w:tc>
          <w:tcPr>
            <w:tcW w:type="dxa" w:w="15038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24 of 24 checks pass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Each row compares the same figure computed by two different reports (or a total against the sum of its parts).</w:t>
      </w:r>
    </w:p>
    <w:tbl>
      <w:tblPr>
        <w:tblW w:type="dxa" w:w="1503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6616"/>
        <w:gridCol w:w="3157"/>
        <w:gridCol w:w="3157"/>
        <w:gridCol w:w="2105"/>
      </w:tblGrid>
      <w:tr>
        <w:trPr>
          <w:cantSplit/>
          <w:tblHeader/>
        </w:trPr>
        <w:tc>
          <w:tcPr>
            <w:tcW w:type="dxa" w:w="661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Tie-out</w:t>
            </w:r>
          </w:p>
        </w:tc>
        <w:tc>
          <w:tcPr>
            <w:tcW w:type="dxa" w:w="315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1</w:t>
            </w:r>
          </w:p>
        </w:tc>
        <w:tc>
          <w:tcPr>
            <w:tcW w:type="dxa" w:w="315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2</w:t>
            </w:r>
          </w:p>
        </w:tc>
        <w:tc>
          <w:tcPr>
            <w:tcW w:type="dxa" w:w="210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 = R3 Total CTC (Sep)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 = R4 Total CTC (Sep)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 = R5 Total CTC (Sep)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R1 = R4 Total CTC (Aug)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67,61,000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67,61,000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= R5 Manpower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= R5 Manpower headcount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= R5 AMC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20,55,000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20,55,000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= R5 AMC headcount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= R5 Projects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16,28,000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16,28,000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= R5 Projects headcount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= R5 Corporate (shared)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6,99,000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6,99,000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= R5 Corporate (shared) headcount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Aug CTC + drivers = Sep CTC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publish check difference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joiners = new-hire paid in Sep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1,96,000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1,96,000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R3 YTD = R4 YTD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PF = R7 Sep PF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8,20,000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ESI = R7 Sep ESI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PT = R7 Sep PT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TDS = R7 Sep TDS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3,20,000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3,20,000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employer PF = R3 employer PF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employer ESI = R3 employer ESI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52,000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R7 Pending tile = unpaid rows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9,28,000</w:t>
            </w:r>
          </w:p>
        </w:tc>
        <w:tc>
          <w:tcPr>
            <w:tcW w:type="dxa" w:w="315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9,28,000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661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tie-out OK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315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05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sectPr>
          <w:headerReference w:type="default" r:id="rId8"/>
          <w:footerReference w:type="default" r:id="rId9"/>
          <w:pgSz w:w="16838" w:h="11906" w:orient="landscape"/>
          <w:pgMar w:top="1000" w:right="900" w:bottom="900" w:left="900" w:header="450" w:footer="400" w:gutter="0"/>
          <w:pgNumType/>
          <w:docGrid w:linePitch="360"/>
        </w:sectPr>
      </w:pPr>
    </w:p>
    <w:p>
      <w:pPr>
        <w:pStyle w:val="Heading1"/>
        <w:keepNext/>
        <w:pBdr>
          <w:bottom w:val="single" w:color="2E6F8E" w:sz="12" w:space="4"/>
        </w:pBdr>
        <w:spacing w:after="200"/>
      </w:pPr>
      <w:bookmarkStart w:name="_Toc10" w:id="10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10.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Report 6 — Statutory Contribution Summary</w:t>
      </w:r>
      <w:bookmarkEnd w:id="10"/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20 of 20 checks pass</w:t>
            </w:r>
            <w:r>
              <w:rPr>
                <w:rFonts w:ascii="Calibri" w:cs="Calibri" w:eastAsia="Calibri" w:hAnsi="Calibri"/>
                <w:color w:val="92400E"/>
                <w:sz w:val="18"/>
                <w:szCs w:val="18"/>
              </w:rPr>
              <w:t xml:space="preserve">   ·   * asserted against the adjusted value explained below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10.1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PF, ESI, Gujarat PT, Gujarat LWF and TDS: employees covered, wage base, employee and employer share, total to deposit; PF breakup and employee-wise tab.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10.2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Mock data used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169"/>
        <w:gridCol w:w="6736"/>
      </w:tblGrid>
      <w:tr>
        <w:trPr>
          <w:cantSplit/>
          <w:tblHeader/>
        </w:trPr>
        <w:tc>
          <w:tcPr>
            <w:tcW w:type="dxa" w:w="31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3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 wages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PF wage is the smallest wage whose 12% equals the employee contribution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98 employees; ESI wage ≈ employer ESI ÷ 3.25%; totals 16,00,000 / 12,000 / 52,000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 PT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₹200 for gross above ₹12,000; 28 employees kept at ₹11,500 so 220 pay PT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TDS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64 highest-paid employees × ₹5,000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UAN / ESIC numbers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Fake: 9999xxxxxxxx / 9999xxxxxx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10.3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Report view</w:t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667085"/>
          <w:sz w:val="17"/>
          <w:szCs w:val="17"/>
        </w:rPr>
        <w:t xml:space="preserve">Actual values as the report lays them out; green = matches the spec, amber = matches the adjusted value, red = mismatch.</w:t>
      </w:r>
    </w:p>
    <w:tbl>
      <w:tblPr>
        <w:tblW w:type="dxa" w:w="9901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773"/>
        <w:gridCol w:w="891"/>
        <w:gridCol w:w="891"/>
        <w:gridCol w:w="891"/>
        <w:gridCol w:w="891"/>
        <w:gridCol w:w="891"/>
        <w:gridCol w:w="891"/>
        <w:gridCol w:w="891"/>
        <w:gridCol w:w="891"/>
      </w:tblGrid>
      <w:tr>
        <w:trPr>
          <w:cantSplit/>
          <w:tblHeader/>
        </w:trPr>
        <w:tc>
          <w:tcPr>
            <w:tcW w:type="dxa" w:w="277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type="dxa" w:w="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employees covered</w:t>
            </w:r>
          </w:p>
        </w:tc>
        <w:tc>
          <w:tcPr>
            <w:tcW w:type="dxa" w:w="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wage base</w:t>
            </w:r>
          </w:p>
        </w:tc>
        <w:tc>
          <w:tcPr>
            <w:tcW w:type="dxa" w:w="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 share</w:t>
            </w:r>
          </w:p>
        </w:tc>
        <w:tc>
          <w:tcPr>
            <w:tcW w:type="dxa" w:w="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employer share</w:t>
            </w:r>
          </w:p>
        </w:tc>
        <w:tc>
          <w:tcPr>
            <w:tcW w:type="dxa" w:w="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to deposit</w:t>
            </w:r>
          </w:p>
        </w:tc>
        <w:tc>
          <w:tcPr>
            <w:tcW w:type="dxa" w:w="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employees</w:t>
            </w:r>
          </w:p>
        </w:tc>
        <w:tc>
          <w:tcPr>
            <w:tcW w:type="dxa" w:w="89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 deposit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236</w:t>
            </w:r>
          </w:p>
        </w:tc>
        <w:tc>
          <w:tcPr>
            <w:tcW w:type="dxa" w:w="891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34,15,783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4,10,000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4,10,000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8,20,000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98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16,00,000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12,000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52,000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64,000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PT (Gujarat)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220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44,000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LWF (Gujarat)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0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TDS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3,20,000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64</w:t>
            </w:r>
          </w:p>
        </w:tc>
        <w:tc>
          <w:tcPr>
            <w:tcW w:type="dxa" w:w="89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73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7,86,000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4,62,000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891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66534"/>
                <w:sz w:val="18"/>
                <w:szCs w:val="18"/>
              </w:rPr>
              <w:t xml:space="preserve">12,48,000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10.4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Expected vs actual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 — employees covered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236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 — wage base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34,15,000 (spec)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34,15,783</w:t>
            </w:r>
          </w:p>
        </w:tc>
        <w:tc>
          <w:tcPr>
            <w:tcW w:type="dxa" w:w="1386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✔  Pass *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 — employee share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 — employer share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4,10,000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PF — total to deposit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 — employees covered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 — wage base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16,00,000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16,00,000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 — employee share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 — employer share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ESI — total to deposit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PT (Gujarat) — employees covered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PT (Gujarat) — total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LWF (Gujarat) — total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TDS — employees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TDS — total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3,20,000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3,20,000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— employee share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7,86,000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7,86,000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— employer share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4,62,000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4,62,000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— to deposit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12,48,000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12,48,000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Employee-wise tab lists fake UAN numbers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Employee-wise tab lists fake ESIC numbers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10.5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Notes on gaps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PF — wage base: </w:t>
      </w:r>
      <w:r>
        <w:rPr>
          <w:rFonts w:ascii="Calibri" w:cs="Calibri" w:eastAsia="Calibri" w:hAnsi="Calibri"/>
          <w:sz w:val="20"/>
          <w:szCs w:val="20"/>
        </w:rPr>
        <w:t xml:space="preserve">spec 34,15,000, actual 34,15,783. 12% of 34,15,000 is 4,09,800, so 4,10,000 cannot come from that wage base. Each PF wage is the smallest whole-rupee wage giving the employee's 12% exactly; the 236 wages total 34,15,783 (783 above the spec).</w:t>
      </w:r>
    </w:p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11" w:id="11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11.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Report 7 — Compliance Due-Date and Payment Tracker</w:t>
      </w:r>
      <w:bookmarkEnd w:id="11"/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48 of 48 checks pass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11.1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One row per wage month and statute with due date (compliance calendar), amount from the lock, paid details and status; tiles for pending, overdue, paid late and interest.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11.2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Mock data used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169"/>
        <w:gridCol w:w="6736"/>
      </w:tblGrid>
      <w:tr>
        <w:trPr>
          <w:cantSplit/>
          <w:tblHeader/>
        </w:trPr>
        <w:tc>
          <w:tcPr>
            <w:tcW w:type="dxa" w:w="31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3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Tracker rows (locked Oct 2025 – Sep 2026)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Viewed on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Oct 2026 (system date mocked)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Extra status rows (toggle)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synthetic rows: due 12 Oct (Due soon) and 05 Oct (Overdue)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State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11.3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Expected vs actual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TDS — due date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2026-10-07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2026-10-07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TDS — amount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3,20,000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3,20,000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TDS — paid 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2026-10-06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2026-10-06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TDS — challan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MOCK-CIN-0510221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MOCK-CIN-0510221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TDS — status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on time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on time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PF — due date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2026-10-15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2026-10-15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PF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8,20,000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PF — status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ESI — due date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2026-10-15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2026-10-15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ESI — amount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ESI — status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PT (Gujarat) — due date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2026-10-15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2026-10-15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PT (Gujarat) — amount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PT (Gujarat) — status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PF — due date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2026-09-15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2026-09-15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PF — amount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7,92,000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7,92,000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PF — paid 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2026-09-18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2026-09-18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PF — challan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MOCK-TRRN-102388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MOCK-TRRN-102388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PF — status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late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late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PF — days late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PF — interest + penalty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1,850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1,850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Earlier months — all paid on time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Tile — Pending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9,28,000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9,28,000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Tile — Overdue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Tile — Paid late this FY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Tile — Interest &amp; penalty YTD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1,850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1,850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Synthetic row due 12 Oct → Due soon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due_soon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due_soon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 soon tone is amber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warn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Synthetic row due 5 Oct → Overdue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tone is red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days late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PF viewed on 13 Oct → Due soon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due_soon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due_soon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PF viewed on 16 Oct → Overdue 1 day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key: overdue, daysLate: 1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key: overdue, daysLate: 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 still unpaid after both rejections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Marked paid with challan + date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paid_on_time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paid_on_time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paid rejected without challan_ref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paid rejected without paid_on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recorded in memory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bucket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payroll-statutory-challans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payroll-statutory-challans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Challan path saved on the payment row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2026-09/TDS-GJ-mock-pay-2026-09-TDS-1791610200000-MOCK_challan_Sep_TDS.pdf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2026-09/TDS-GJ-mock-pay-2026-09-TDS-1791610200000-MOCK_challan_Sep_TDS.pdf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Signed link is a mock URL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alert when nothing is due soon / overdue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 sent to both mock recipients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 covers 2 payments (1 due soon, 1 overdue)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Recipients are placeholder addresses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cfo@example.test, compliance@example.test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cfo@example.test, compliance@example.test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Subject names overdue and due soon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(not due soon) payments not in the email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 run the same day sends nothing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12" w:id="12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12.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New-hire Summary (fixture for later Report 8)</w:t>
      </w:r>
      <w:bookmarkEnd w:id="12"/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7 of 7 checks pass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12.1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Fixture check only (no report screen yet): hires split New / Replacement, monthly CTC added, amount paid in Sep, average CTC and hires without budget.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12.2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Mock data used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169"/>
        <w:gridCol w:w="6736"/>
      </w:tblGrid>
      <w:tr>
        <w:trPr>
          <w:cantSplit/>
          <w:tblHeader/>
        </w:trPr>
        <w:tc>
          <w:tcPr>
            <w:tcW w:type="dxa" w:w="31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3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Hires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(position type from employee tags)</w:t>
            </w:r>
          </w:p>
        </w:tc>
      </w:tr>
      <w:tr>
        <w:trPr>
          <w:cantSplit/>
        </w:trPr>
        <w:tc>
          <w:tcPr>
            <w:tcW w:type="dxa" w:w="31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CTC per hire</w:t>
            </w:r>
          </w:p>
        </w:tc>
        <w:tc>
          <w:tcPr>
            <w:tcW w:type="dxa" w:w="673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₹28,500</w:t>
            </w:r>
          </w:p>
        </w:tc>
      </w:tr>
      <w:tr>
        <w:trPr>
          <w:cantSplit/>
        </w:trPr>
        <w:tc>
          <w:tcPr>
            <w:tcW w:type="dxa" w:w="31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Budget</w:t>
            </w:r>
          </w:p>
        </w:tc>
        <w:tc>
          <w:tcPr>
            <w:tcW w:type="dxa" w:w="673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Budget headcount per vertical per month = actual headcount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12.3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Expected vs actual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Hires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positions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Replacements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CTC added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3,42,000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3,42,000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in Sep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1,96,000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1,96,000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Average new-hire CTC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28,500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28,500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Hires without budget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13" w:id="13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13.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Common rules, filters, access, exports, status and colour tests</w:t>
      </w:r>
      <w:bookmarkEnd w:id="13"/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DCFCE7" w:color="auto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✔  </w:t>
            </w: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155 of 155 checks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Common rules — 16 of 16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% 70,17,000 vs 67,61,000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3.80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3.80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% with previous 0 shows New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% 27.27 → +27.3%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+27.3%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+27.3%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 % fall shows minus sign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−5.0%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−5.0%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Indian grouping 12,34,567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12,34,567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12,34,567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Indian grouping 4,03,08,200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Display rounds 123.52 → 124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124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124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Stored LOP earned keeps 2 decimals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Paise-exact sum of 0.1 + 0.2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0.30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0.30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Previous of Sep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2026-08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2026-08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Previous skips an unlocked Aug → Jul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2026-07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2026-07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B previous CTC (same filter)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20,10,000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20,10,000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Locked months exclude Oct 2026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run has payroll lines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Rows for Oct 2026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rows for Oct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Lock / unlock / re-lock — 14 of 14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rows after locking all months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2,892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2,892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Payment rows after locking all months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Sep gross = fixture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62,40,000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62,40,000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snapshot row carries state GJ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 snapshot row count unchanged after re-lock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 snapshot gross reflects the re-processed line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58,93,500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58,93,500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 tracker rows not duplicated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tracker row per statute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 TDS row flagged "amount changed after payment"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tracker rows after unlock + re-lock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locked despite snapshot failure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Failure written to the job log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row keeps vertical A after transfer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manpower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manpower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row shows the new vertical B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amc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amc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Filters — 13 of 13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 Sep 2026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Range Aug–Sep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1,37,78,000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1,37,78,000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 Q2 FY 2026-27 (Jul–Sep)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2,04,09,000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2,04,09,000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FY 2026-27 (locked Apr–Sep)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YTD to Sep 2026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4,03,08,200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FY 2025-26 (locked Oct–Mar)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3,88,30,313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3,88,30,313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A total CTC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 Operations / Field total CTC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14,20,000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14,20,000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 values sum to Sep total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costCentre values sum to Sep total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grade values sum to Sep total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employmentType values sum to Sep total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Locations are Gujarat cities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Ahmedabad, Rajkot, Surat, Vadodara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Ahmedabad, Rajkot, Surat, Vadodara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Colours, Unassigned row and shared-staff allocation — 15 of 15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Overtime +27.3% is red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 CTC +3.8% has no colour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Headcount never coloured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fall is green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Headcount fall not coloured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neutral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Unassigned row present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Unassigned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Unassigned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Unassigned headcount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Unassigned row is red in the download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Allocation switched off by default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 off: Corporate headcount stays 22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 on: Corporate headcount 21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 on: Vertical A headcount 96.5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96.50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96.50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 on: Vertical B headcount 72.5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72.50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72.50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 on: total CTC unchanged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70,17,000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Split on: Report 5 Vertical A headcount 96.5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96.50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96.50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13.5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Report 7 statuses, mark paid, challan upload and alerts — 22 of 22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Synthetic row due 12 Oct → Due soon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due_soon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due_soon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 soon tone is amber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warn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Synthetic row due 5 Oct → Overdue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tone is red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 days late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PF viewed on 13 Oct → Due soon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due_soon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due_soon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 PF viewed on 16 Oct → Overdue 1 day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key: overdue, daysLate: 1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key: overdue, daysLate: 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 still unpaid after both rejections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Marked paid with challan + date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paid_on_time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paid_on_time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paid rejected without challan_ref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 paid rejected without paid_on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recorded in memory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bucket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payroll-statutory-challans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payroll-statutory-challans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Challan path saved on the payment row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2026-09/TDS-GJ-mock-pay-2026-09-TDS-1791610200000-MOCK_challan_Sep_TDS.pdf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2026-09/TDS-GJ-mock-pay-2026-09-TDS-1791610200000-MOCK_challan_Sep_TDS.pdf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Signed link is a mock URL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alert when nothing is due soon / overdue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 sent to both mock recipients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 covers 2 payments (1 due soon, 1 overdue)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Recipients are placeholder addresses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cfo@example.test, compliance@example.test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cfo@example.test, compliance@example.test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Subject names overdue and due soon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Pending (not due soon) payments not in the email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 run the same day sends nothing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13.6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Drill-downs — 17 of 17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New joiners: employees sum to the driver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1,96,000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1,96,000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Exits: employees sum to the driver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−58,000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−58,000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Increments / promotions: employees sum to the driver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Overtime: employees sum to the driver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Incentives and arrears: employees sum to the driver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Loss of pay / attendance: employees sum to the driver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−14,000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−14,000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R2 Other: employees sum to the driver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Manpower: employee CTC sums to the row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AMC: employee CTC sums to the row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20,55,000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20,55,000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Projects: employee CTC sums to the row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16,28,000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16,28,000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R4 Corporate (shared): employee CTC sums to the row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6,99,000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6,99,000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Admin &amp; Accounts: employee CTC sums to the row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Operations / Field: employee CTC sums to the row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14,20,000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14,20,000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Sales &amp; Business Dev.: employee CTC sums to the row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5,10,000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5,10,000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R5 Service &amp; Maintenance: employee CTC sums to the row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4,25,000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4,25,000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employee-wise: employee share sums to total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7,86,000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7,86,000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R6 employee-wise: employer share sums to total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4,62,000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4,62,000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13.7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Access and logging — 12 of 12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Salary Admin has full access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Salary Admin sees 4 verticals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amc, corporate, manpower, projects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amc, corporate, manpower, projects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head scopes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{"vertical":"manpower","department":null}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{"vertical":"manpower","department":null}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head is not full access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head rows only Manpower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manpower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manpower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head Total CTC = Report 4 Manpower row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26,35,000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head sees Reports 1–6 only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r1, r2, r3, r4, r5, r6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r1, r2, r3, r4, r5, r6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No-access user blocked with a friendly message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salary.admin@example.test: one log entry per view / download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salary.admin@example.test: entries carry the user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vertical.head@example.test: one log entry per view / download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vertical.head@example.test: entries carry the user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13.8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Exports — 42 of 42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Payroll Summary: Excel has no formulas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Payroll Summary: Excel money cells are numbers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Payroll Summary: Excel header rows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Payroll Summary: Excel header values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Monthly Payroll Summary, Sep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Monthly Payroll Summary, Sep 2026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Payroll Summary: CSV starts with the report header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Monthly Payroll Summary: PDF builds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Month-on-Month Variance: Excel has no formulas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Month-on-Month Variance: Excel money cells are numbers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Month-on-Month Variance: Excel header rows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Month-on-Month Variance: Excel header values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Month-on-Month Variance, Sep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Month-on-Month Variance, Sep 2026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Month-on-Month Variance: CSV starts with the report header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Month-on-Month Variance: PDF builds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CTC Cost Summary: Excel has no formulas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CTC Cost Summary: Excel money cells are numbers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CTC Cost Summary: Excel header rows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CTC Cost Summary: Excel header values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CTC Cost Summary, Sep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CTC Cost Summary, Sep 2026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CTC Cost Summary: CSV starts with the report header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CTC Cost Summary: PDF builds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Vertical-wise Payroll Cost: Excel has no formulas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Vertical-wise Payroll Cost: Excel money cells are numbers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Vertical-wise Payroll Cost: Excel header rows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Vertical-wise Payroll Cost: Excel header values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Vertical-wise Payroll Cost, Sep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Vertical-wise Payroll Cost, Sep 2026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Vertical-wise Payroll Cost: CSV starts with the report header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Vertical-wise Payroll Cost: PDF builds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Department-wise Payroll Cost: Excel has no formulas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Department-wise Payroll Cost: Excel money cells are numbers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Department-wise Payroll Cost: Excel header rows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Department-wise Payroll Cost: Excel header values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Department-wise Payroll Cost, Sep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Department-wise Payroll Cost, Sep 2026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Department-wise Payroll Cost: CSV starts with the report header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Department-wise Payroll Cost: PDF builds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Statutory Contribution Summary: Excel has no formulas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Statutory Contribution Summary: Excel money cells are numbers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Statutory Contribution Summary: Excel header rows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Statutory Contribution Summary: Excel header values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Statutory Contribution Summary, Sep 2026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Statutory Contribution Summary, Sep 2026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Statutory Contribution Summary: CSV starts with the report header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Statutory Contribution Summary: PDF builds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Due-Date and Payment Tracker: Excel has no formulas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Due-Date and Payment Tracker: Excel money cells are numbers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Due-Date and Payment Tracker: Excel header rows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Company, Report, Period, Filters, Generated on, Generated by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Due-Date and Payment Tracker: Excel header values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Compliance Due-Date and Payment Tracker, As on 2026-10-10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Indus Fire Safety Pvt. Ltd., Compliance Due-Date and Payment Tracker, As on 2026-10-10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Due-Date and Payment Tracker: CSV starts with the report header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Due-Date and Payment Tracker: PDF builds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13.9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No side effects — 4 of 4 pass</w:t>
      </w:r>
    </w:p>
    <w:tbl>
      <w:tblPr>
        <w:tblW w:type="dxa" w:w="9904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4358"/>
        <w:gridCol w:w="2080"/>
        <w:gridCol w:w="2080"/>
        <w:gridCol w:w="1386"/>
      </w:tblGrid>
      <w:tr>
        <w:trPr>
          <w:cantSplit/>
          <w:tblHeader/>
        </w:trPr>
        <w:tc>
          <w:tcPr>
            <w:tcW w:type="dxa" w:w="435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Figure / check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8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38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 calls attempted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Mocked Supabase calls recorded (all in memory)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 calls attempted (fetch / XHR / WebSocket)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0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  <w:tr>
        <w:trPr>
          <w:cantSplit/>
        </w:trPr>
        <w:tc>
          <w:tcPr>
            <w:tcW w:type="dxa" w:w="435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Changed files under src/, server/, supabase/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(none)</w:t>
            </w:r>
          </w:p>
        </w:tc>
        <w:tc>
          <w:tcPr>
            <w:tcW w:type="dxa" w:w="208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(none)</w:t>
            </w:r>
          </w:p>
        </w:tc>
        <w:tc>
          <w:tcPr>
            <w:tcW w:type="dxa" w:w="1386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✔  Pass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 w:orient="portrait"/>
          <w:pgMar w:top="1100" w:right="1000" w:bottom="1000" w:left="1000" w:header="500" w:footer="450" w:gutter="0"/>
          <w:pgNumType/>
          <w:docGrid w:linePitch="360"/>
        </w:sectPr>
      </w:pPr>
    </w:p>
    <w:p>
      <w:pPr>
        <w:pStyle w:val="Heading1"/>
        <w:keepNext/>
        <w:pBdr>
          <w:bottom w:val="single" w:color="2E6F8E" w:sz="12" w:space="4"/>
        </w:pBdr>
        <w:spacing w:after="200"/>
      </w:pPr>
      <w:bookmarkStart w:name="_Toc14" w:id="14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14.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Defects / open issues</w:t>
      </w:r>
      <w:bookmarkEnd w:id="14"/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14.1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Test failures</w:t>
      </w:r>
    </w:p>
    <w:tbl>
      <w:tblPr>
        <w:tblW w:type="dxa" w:w="15038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15038"/>
      </w:tblGrid>
      <w:tr>
        <w:trPr>
          <w:cantSplit/>
          <w:tblHeader/>
        </w:trPr>
        <w:tc>
          <w:tcPr>
            <w:tcW w:type="dxa" w:w="15038"/>
            <w:shd w:fill="15803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5038"/>
            <w:shd w:fill="DCFCE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None — every test passed.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14.2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Observations (not failures)</w:t>
      </w:r>
    </w:p>
    <w:tbl>
      <w:tblPr>
        <w:tblW w:type="dxa" w:w="15036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2556"/>
        <w:gridCol w:w="1654"/>
        <w:gridCol w:w="1654"/>
        <w:gridCol w:w="7669"/>
        <w:gridCol w:w="1503"/>
      </w:tblGrid>
      <w:tr>
        <w:trPr>
          <w:cantSplit/>
          <w:tblHeader/>
        </w:trPr>
        <w:tc>
          <w:tcPr>
            <w:tcW w:type="dxa" w:w="255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65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 / expected</w:t>
            </w:r>
          </w:p>
        </w:tc>
        <w:tc>
          <w:tcPr>
            <w:tcW w:type="dxa" w:w="165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Mock / actual</w:t>
            </w:r>
          </w:p>
        </w:tc>
        <w:tc>
          <w:tcPr>
            <w:tcW w:type="dxa" w:w="766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503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rPr>
          <w:cantSplit/>
        </w:trP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3 — Gujarat LWF YTD</w:t>
            </w:r>
          </w:p>
        </w:tc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6,200</w:t>
            </w:r>
          </w:p>
        </w:tc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2,880</w:t>
            </w:r>
          </w:p>
        </w:tc>
        <w:tc>
          <w:tcPr>
            <w:tcW w:type="dxa" w:w="76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Gujarat LWF employer ₹12 × 240 employees on the June register = 2,880. 6,200 is not a multiple of 12 (nearest: 517 employees → 6,204), and the mock company has ~240 staff. The difference is held in June gross of the same vertical so every Total CTC (month, YTD, vertical) stays exact.</w:t>
            </w:r>
          </w:p>
        </w:tc>
        <w:tc>
          <w:tcPr>
            <w:tcW w:type="dxa" w:w="1503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467"/>
                <w:sz w:val="18"/>
                <w:szCs w:val="18"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255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3 — Gross YTD</w:t>
            </w:r>
          </w:p>
        </w:tc>
        <w:tc>
          <w:tcPr>
            <w:tcW w:type="dxa" w:w="165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3,58,20,000</w:t>
            </w:r>
          </w:p>
        </w:tc>
        <w:tc>
          <w:tcPr>
            <w:tcW w:type="dxa" w:w="165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3,58,23,320</w:t>
            </w:r>
          </w:p>
        </w:tc>
        <w:tc>
          <w:tcPr>
            <w:tcW w:type="dxa" w:w="76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Carries the LWF difference above, so Total CTC YTD stays 4,03,08,200.</w:t>
            </w:r>
          </w:p>
        </w:tc>
        <w:tc>
          <w:tcPr>
            <w:tcW w:type="dxa" w:w="1503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467"/>
                <w:sz w:val="18"/>
                <w:szCs w:val="18"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6 — PF wage base</w:t>
            </w:r>
          </w:p>
        </w:tc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34,15,000</w:t>
            </w:r>
          </w:p>
        </w:tc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34,15,783</w:t>
            </w:r>
          </w:p>
        </w:tc>
        <w:tc>
          <w:tcPr>
            <w:tcW w:type="dxa" w:w="76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12% of 34,15,000 is 4,09,800, so 4,10,000 cannot come from that wage base. Each PF wage is the smallest whole-rupee wage giving the employee's 12% exactly; the 236 wages total 34,15,783 (783 above the spec).</w:t>
            </w:r>
          </w:p>
        </w:tc>
        <w:tc>
          <w:tcPr>
            <w:tcW w:type="dxa" w:w="1503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467"/>
                <w:sz w:val="18"/>
                <w:szCs w:val="18"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255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calendar — March TDS</w:t>
            </w:r>
          </w:p>
        </w:tc>
        <w:tc>
          <w:tcPr>
            <w:tcW w:type="dxa" w:w="165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Apr</w:t>
            </w:r>
          </w:p>
        </w:tc>
        <w:tc>
          <w:tcPr>
            <w:tcW w:type="dxa" w:w="165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 Apr</w:t>
            </w:r>
          </w:p>
        </w:tc>
        <w:tc>
          <w:tcPr>
            <w:tcW w:type="dxa" w:w="76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calendar has one day / month-offset rule per statute, so March TDS (statutory due date 30 April) gets 07 April. A March-specific override is not possible without a calendar change.</w:t>
            </w:r>
          </w:p>
        </w:tc>
        <w:tc>
          <w:tcPr>
            <w:tcW w:type="dxa" w:w="1503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55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calendar — Gujarat PT</w:t>
            </w:r>
          </w:p>
        </w:tc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with PT office</w:t>
            </w:r>
          </w:p>
        </w:tc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15th of next month</w:t>
            </w:r>
          </w:p>
        </w:tc>
        <w:tc>
          <w:tcPr>
            <w:tcW w:type="dxa" w:w="766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Published Gujarat PT due dates differ (monthly by the 15th vs quarterly for 20+ employees). Monthly is configured; a quarterly rule cannot be expressed by the calendar today.</w:t>
            </w:r>
          </w:p>
        </w:tc>
        <w:tc>
          <w:tcPr>
            <w:tcW w:type="dxa" w:w="1503"/>
            <w:shd w:fill="FEF3C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55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Mock data — ESI eligibility</w:t>
            </w:r>
          </w:p>
        </w:tc>
        <w:tc>
          <w:tcPr>
            <w:tcW w:type="dxa" w:w="165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65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766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spec’s department averages (₹22k–36k gross) leave fewer than 98 employees under the ₹21,000 ESI ceiling, so ESI cover is assigned to the lowest-paid staff per department without enforcing the ceiling on gross. Reports sum stored ESI figures, so results are unaffected.</w:t>
            </w:r>
          </w:p>
        </w:tc>
        <w:tc>
          <w:tcPr>
            <w:tcW w:type="dxa" w:w="1503"/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75467"/>
                <w:sz w:val="18"/>
                <w:szCs w:val="18"/>
              </w:rPr>
              <w:t xml:space="preserve">Info</w:t>
            </w:r>
          </w:p>
        </w:tc>
      </w:tr>
    </w:tbl>
    <w:p>
      <w:pPr>
        <w:pStyle w:val="Heading1"/>
        <w:keepNext/>
        <w:pageBreakBefore/>
        <w:pBdr>
          <w:bottom w:val="single" w:color="2E6F8E" w:sz="12" w:space="4"/>
        </w:pBdr>
        <w:spacing w:after="200"/>
      </w:pPr>
      <w:bookmarkStart w:name="_Toc15" w:id="15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15.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Coverage gaps</w:t>
      </w:r>
      <w:bookmarkEnd w:id="15"/>
    </w:p>
    <w:p>
      <w:pPr>
        <w:spacing w:after="120" w:before="0" w:line="276"/>
      </w:pPr>
      <w:r>
        <w:rPr>
          <w:rFonts w:ascii="Calibri" w:cs="Calibri" w:eastAsia="Calibri" w:hAnsi="Calibri"/>
          <w:sz w:val="20"/>
          <w:szCs w:val="20"/>
        </w:rPr>
        <w:t xml:space="preserve">Logic that lives in SQL (views, functions, trigger, row-level security) is not ported to JavaScript; the tests feed fixture rows shaped like the database results into the JavaScript layer instead.</w:t>
      </w:r>
    </w:p>
    <w:tbl>
      <w:tblPr>
        <w:tblW w:type="dxa" w:w="15037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609"/>
        <w:gridCol w:w="6917"/>
        <w:gridCol w:w="4511"/>
      </w:tblGrid>
      <w:tr>
        <w:trPr>
          <w:cantSplit/>
          <w:tblHeader/>
        </w:trPr>
        <w:tc>
          <w:tcPr>
            <w:tcW w:type="dxa" w:w="360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 covered here</w:t>
            </w:r>
          </w:p>
        </w:tc>
        <w:tc>
          <w:tcPr>
            <w:tcW w:type="dxa" w:w="691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tests do instead</w:t>
            </w:r>
          </w:p>
        </w:tc>
        <w:tc>
          <w:tcPr>
            <w:tcW w:type="dxa" w:w="4511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cover it</w:t>
            </w:r>
          </w:p>
        </w:tc>
      </w:tr>
      <w:tr>
        <w:trPr>
          <w:cantSplit/>
        </w:trPr>
        <w:tc>
          <w:tcPr>
            <w:tcW w:type="dxa" w:w="3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builder (SQL)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 mapping from payroll lines, proration, employer cost formulas, premium ÷ 12 / months remaining across mediclaim employees, CTC-mediclaim fallback</w:t>
            </w:r>
          </w:p>
        </w:tc>
        <w:tc>
          <w:tcPr>
            <w:tcW w:type="dxa" w:w="45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payroll:check:mis (PGlite, in-memory Postgres) before release</w:t>
            </w:r>
          </w:p>
        </w:tc>
      </w:tr>
      <w:tr>
        <w:trPr>
          <w:cantSplit/>
        </w:trPr>
        <w:tc>
          <w:tcPr>
            <w:tcW w:type="dxa" w:w="360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After-lock trigger and payment upsert (SQL)</w:t>
            </w:r>
          </w:p>
        </w:tc>
        <w:tc>
          <w:tcPr>
            <w:tcW w:type="dxa" w:w="691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Simulated in memory with the same rules; the real trigger is not executed here</w:t>
            </w:r>
          </w:p>
        </w:tc>
        <w:tc>
          <w:tcPr>
            <w:tcW w:type="dxa" w:w="451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payroll:check:mis</w:t>
            </w:r>
          </w:p>
        </w:tc>
      </w:tr>
      <w:tr>
        <w:trPr>
          <w:cantSplit/>
        </w:trPr>
        <w:tc>
          <w:tcPr>
            <w:tcW w:type="dxa" w:w="3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Due-date function (SQL)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Fixture due dates come from a JavaScript mirror of the calendar rule</w:t>
            </w:r>
          </w:p>
        </w:tc>
        <w:tc>
          <w:tcPr>
            <w:tcW w:type="dxa" w:w="45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payroll:check:mis</w:t>
            </w:r>
          </w:p>
        </w:tc>
      </w:tr>
      <w:tr>
        <w:trPr>
          <w:cantSplit/>
        </w:trPr>
        <w:tc>
          <w:tcPr>
            <w:tcW w:type="dxa" w:w="360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Vertical scoping and row-level security (SQL)</w:t>
            </w:r>
          </w:p>
        </w:tc>
        <w:tc>
          <w:tcPr>
            <w:tcW w:type="dxa" w:w="691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mocked data service filters by the access table; real row-level security is not exercised</w:t>
            </w:r>
          </w:p>
        </w:tc>
        <w:tc>
          <w:tcPr>
            <w:tcW w:type="dxa" w:w="451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PGlite check, or a staging smoke test with a vertical-head login</w:t>
            </w:r>
          </w:p>
        </w:tc>
      </w:tr>
      <w:tr>
        <w:trPr>
          <w:cantSplit/>
        </w:trPr>
        <w:tc>
          <w:tcPr>
            <w:tcW w:type="dxa" w:w="3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Mark-paid validation (SQL)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mocked service applies the same rule; the app layer and its message are tested</w:t>
            </w:r>
          </w:p>
        </w:tc>
        <w:tc>
          <w:tcPr>
            <w:tcW w:type="dxa" w:w="45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payroll:check:mis</w:t>
            </w:r>
          </w:p>
        </w:tc>
      </w:tr>
      <w:tr>
        <w:trPr>
          <w:cantSplit/>
        </w:trPr>
        <w:tc>
          <w:tcPr>
            <w:tcW w:type="dxa" w:w="360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Screens (React)</w:t>
            </w:r>
          </w:p>
        </w:tc>
        <w:tc>
          <w:tcPr>
            <w:tcW w:type="dxa" w:w="691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assembly is reproduced from the MIS page logic; rendering, buttons and charts are not exercised</w:t>
            </w:r>
          </w:p>
        </w:tc>
        <w:tc>
          <w:tcPr>
            <w:tcW w:type="dxa" w:w="451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UAT or a browser test</w:t>
            </w:r>
          </w:p>
        </w:tc>
      </w:tr>
      <w:tr>
        <w:trPr>
          <w:cantSplit/>
        </w:trPr>
        <w:tc>
          <w:tcPr>
            <w:tcW w:type="dxa" w:w="360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 visual layout</w:t>
            </w:r>
          </w:p>
        </w:tc>
        <w:tc>
          <w:tcPr>
            <w:tcW w:type="dxa" w:w="69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PDFs are built and checked to be valid files; layout is not compared</w:t>
            </w:r>
          </w:p>
        </w:tc>
        <w:tc>
          <w:tcPr>
            <w:tcW w:type="dxa" w:w="451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review of the sample PDFs in the scratch exports folder</w:t>
            </w:r>
          </w:p>
        </w:tc>
      </w:tr>
      <w:tr>
        <w:trPr>
          <w:cantSplit/>
        </w:trPr>
        <w:tc>
          <w:tcPr>
            <w:tcW w:type="dxa" w:w="360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delivery and storage upload</w:t>
            </w:r>
          </w:p>
        </w:tc>
        <w:tc>
          <w:tcPr>
            <w:tcW w:type="dxa" w:w="691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Mail sender and storage are mocked; nothing is sent or uploaded</w:t>
            </w:r>
          </w:p>
        </w:tc>
        <w:tc>
          <w:tcPr>
            <w:tcW w:type="dxa" w:w="4511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Staging test with a test mailbox and bucket</w:t>
            </w:r>
          </w:p>
        </w:tc>
      </w:tr>
    </w:tbl>
    <w:p>
      <w:pPr>
        <w:sectPr>
          <w:headerReference w:type="default" r:id="rId12"/>
          <w:footerReference w:type="default" r:id="rId13"/>
          <w:pgSz w:w="16838" w:h="11906" w:orient="landscape"/>
          <w:pgMar w:top="1000" w:right="900" w:bottom="900" w:left="900" w:header="450" w:footer="400" w:gutter="0"/>
          <w:pgNumType/>
          <w:docGrid w:linePitch="360"/>
        </w:sectPr>
      </w:pPr>
    </w:p>
    <w:p>
      <w:pPr>
        <w:pStyle w:val="Heading1"/>
        <w:keepNext/>
        <w:pBdr>
          <w:bottom w:val="single" w:color="2E6F8E" w:sz="12" w:space="4"/>
        </w:pBdr>
        <w:spacing w:after="200"/>
      </w:pPr>
      <w:bookmarkStart w:name="_Toc16" w:id="16"/>
      <w:r>
        <w:rPr>
          <w:rFonts w:ascii="Calibri" w:cs="Calibri" w:eastAsia="Calibri" w:hAnsi="Calibri"/>
          <w:b/>
          <w:bCs/>
          <w:color w:val="2E6F8E"/>
          <w:sz w:val="32"/>
          <w:szCs w:val="32"/>
        </w:rPr>
        <w:t xml:space="preserve">16. 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Appendix</w:t>
      </w:r>
      <w:bookmarkEnd w:id="16"/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16.1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Paid employees per vertical and month</w:t>
      </w:r>
    </w:p>
    <w:tbl>
      <w:tblPr>
        <w:tblW w:type="dxa" w:w="9902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1287"/>
        <w:gridCol w:w="1188"/>
        <w:gridCol w:w="990"/>
        <w:gridCol w:w="1089"/>
        <w:gridCol w:w="1684"/>
        <w:gridCol w:w="990"/>
        <w:gridCol w:w="2674"/>
      </w:tblGrid>
      <w:tr>
        <w:trPr>
          <w:cantSplit/>
          <w:tblHeader/>
        </w:trPr>
        <w:tc>
          <w:tcPr>
            <w:tcW w:type="dxa" w:w="128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18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Manpower</w:t>
            </w:r>
          </w:p>
        </w:tc>
        <w:tc>
          <w:tcPr>
            <w:tcW w:type="dxa" w:w="99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AMC</w:t>
            </w:r>
          </w:p>
        </w:tc>
        <w:tc>
          <w:tcPr>
            <w:tcW w:type="dxa" w:w="108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168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Corporate (shared)</w:t>
            </w:r>
          </w:p>
        </w:tc>
        <w:tc>
          <w:tcPr>
            <w:tcW w:type="dxa" w:w="99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674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Gross (₹)</w:t>
            </w:r>
          </w:p>
        </w:tc>
      </w:tr>
      <w:tr>
        <w:trPr>
          <w:cantSplit/>
        </w:trPr>
        <w:tc>
          <w:tcPr>
            <w:tcW w:type="dxa" w:w="12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 2025</w:t>
            </w:r>
          </w:p>
        </w:tc>
        <w:tc>
          <w:tcPr>
            <w:tcW w:type="dxa" w:w="11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56,11,870</w:t>
            </w:r>
          </w:p>
        </w:tc>
      </w:tr>
      <w:tr>
        <w:trPr>
          <w:cantSplit/>
        </w:trPr>
        <w:tc>
          <w:tcPr>
            <w:tcW w:type="dxa" w:w="128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 2025</w:t>
            </w:r>
          </w:p>
        </w:tc>
        <w:tc>
          <w:tcPr>
            <w:tcW w:type="dxa" w:w="118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56,68,720</w:t>
            </w:r>
          </w:p>
        </w:tc>
      </w:tr>
      <w:tr>
        <w:trPr>
          <w:cantSplit/>
        </w:trPr>
        <w:tc>
          <w:tcPr>
            <w:tcW w:type="dxa" w:w="12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 2025</w:t>
            </w:r>
          </w:p>
        </w:tc>
        <w:tc>
          <w:tcPr>
            <w:tcW w:type="dxa" w:w="11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57,25,619</w:t>
            </w:r>
          </w:p>
        </w:tc>
      </w:tr>
      <w:tr>
        <w:trPr>
          <w:cantSplit/>
        </w:trPr>
        <w:tc>
          <w:tcPr>
            <w:tcW w:type="dxa" w:w="128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Jan 2026</w:t>
            </w:r>
          </w:p>
        </w:tc>
        <w:tc>
          <w:tcPr>
            <w:tcW w:type="dxa" w:w="118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57,82,507</w:t>
            </w:r>
          </w:p>
        </w:tc>
      </w:tr>
      <w:tr>
        <w:trPr>
          <w:cantSplit/>
        </w:trPr>
        <w:tc>
          <w:tcPr>
            <w:tcW w:type="dxa" w:w="12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Feb 2026</w:t>
            </w:r>
          </w:p>
        </w:tc>
        <w:tc>
          <w:tcPr>
            <w:tcW w:type="dxa" w:w="11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58,39,329</w:t>
            </w:r>
          </w:p>
        </w:tc>
      </w:tr>
      <w:tr>
        <w:trPr>
          <w:cantSplit/>
        </w:trPr>
        <w:tc>
          <w:tcPr>
            <w:tcW w:type="dxa" w:w="128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 2026</w:t>
            </w:r>
          </w:p>
        </w:tc>
        <w:tc>
          <w:tcPr>
            <w:tcW w:type="dxa" w:w="118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58,96,233</w:t>
            </w:r>
          </w:p>
        </w:tc>
      </w:tr>
      <w:tr>
        <w:trPr>
          <w:cantSplit/>
        </w:trPr>
        <w:tc>
          <w:tcPr>
            <w:tcW w:type="dxa" w:w="12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Apr 2026</w:t>
            </w:r>
          </w:p>
        </w:tc>
        <w:tc>
          <w:tcPr>
            <w:tcW w:type="dxa" w:w="11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58,92,500</w:t>
            </w:r>
          </w:p>
        </w:tc>
      </w:tr>
      <w:tr>
        <w:trPr>
          <w:cantSplit/>
        </w:trPr>
        <w:tc>
          <w:tcPr>
            <w:tcW w:type="dxa" w:w="128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2026</w:t>
            </w:r>
          </w:p>
        </w:tc>
        <w:tc>
          <w:tcPr>
            <w:tcW w:type="dxa" w:w="118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58,92,500</w:t>
            </w:r>
          </w:p>
        </w:tc>
      </w:tr>
      <w:tr>
        <w:trPr>
          <w:cantSplit/>
        </w:trPr>
        <w:tc>
          <w:tcPr>
            <w:tcW w:type="dxa" w:w="12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Jun 2026</w:t>
            </w:r>
          </w:p>
        </w:tc>
        <w:tc>
          <w:tcPr>
            <w:tcW w:type="dxa" w:w="11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58,95,820</w:t>
            </w:r>
          </w:p>
        </w:tc>
      </w:tr>
      <w:tr>
        <w:trPr>
          <w:cantSplit/>
        </w:trPr>
        <w:tc>
          <w:tcPr>
            <w:tcW w:type="dxa" w:w="128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 2026</w:t>
            </w:r>
          </w:p>
        </w:tc>
        <w:tc>
          <w:tcPr>
            <w:tcW w:type="dxa" w:w="118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58,92,500</w:t>
            </w:r>
          </w:p>
        </w:tc>
      </w:tr>
      <w:tr>
        <w:trPr>
          <w:cantSplit/>
        </w:trPr>
        <w:tc>
          <w:tcPr>
            <w:tcW w:type="dxa" w:w="128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Aug 2026</w:t>
            </w:r>
          </w:p>
        </w:tc>
        <w:tc>
          <w:tcPr>
            <w:tcW w:type="dxa" w:w="11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W w:type="dxa" w:w="16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99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240</w:t>
            </w:r>
          </w:p>
        </w:tc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60,10,000</w:t>
            </w:r>
          </w:p>
        </w:tc>
      </w:tr>
      <w:tr>
        <w:trPr>
          <w:cantSplit/>
        </w:trPr>
        <w:tc>
          <w:tcPr>
            <w:tcW w:type="dxa" w:w="128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 2026</w:t>
            </w:r>
          </w:p>
        </w:tc>
        <w:tc>
          <w:tcPr>
            <w:tcW w:type="dxa" w:w="118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96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W w:type="dxa" w:w="108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168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990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248</w:t>
            </w:r>
          </w:p>
        </w:tc>
        <w:tc>
          <w:tcPr>
            <w:tcW w:type="dxa" w:w="2674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62,40,000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16.2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Vertical A departments (Sep 2026)</w:t>
      </w:r>
    </w:p>
    <w:tbl>
      <w:tblPr>
        <w:tblW w:type="dxa" w:w="9903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5448"/>
        <w:gridCol w:w="1485"/>
        <w:gridCol w:w="1485"/>
        <w:gridCol w:w="1485"/>
      </w:tblGrid>
      <w:tr>
        <w:trPr>
          <w:cantSplit/>
          <w:tblHeader/>
        </w:trPr>
        <w:tc>
          <w:tcPr>
            <w:tcW w:type="dxa" w:w="544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14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Paid</w:t>
            </w:r>
          </w:p>
        </w:tc>
        <w:tc>
          <w:tcPr>
            <w:tcW w:type="dxa" w:w="14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Hires</w:t>
            </w:r>
          </w:p>
        </w:tc>
        <w:tc>
          <w:tcPr>
            <w:tcW w:type="dxa" w:w="1485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Exits</w:t>
            </w:r>
          </w:p>
        </w:tc>
      </w:tr>
      <w:tr>
        <w:trPr>
          <w:cantSplit/>
        </w:trPr>
        <w:tc>
          <w:tcPr>
            <w:tcW w:type="dxa" w:w="54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/ Field</w:t>
            </w:r>
          </w:p>
        </w:tc>
        <w:tc>
          <w:tcPr>
            <w:tcW w:type="dxa" w:w="14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W w:type="dxa" w:w="14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4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44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&amp; Business Dev.</w:t>
            </w:r>
          </w:p>
        </w:tc>
        <w:tc>
          <w:tcPr>
            <w:tcW w:type="dxa" w:w="148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148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48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4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&amp; Maintenance</w:t>
            </w:r>
          </w:p>
        </w:tc>
        <w:tc>
          <w:tcPr>
            <w:tcW w:type="dxa" w:w="14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14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48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44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&amp; Accounts</w:t>
            </w:r>
          </w:p>
        </w:tc>
        <w:tc>
          <w:tcPr>
            <w:tcW w:type="dxa" w:w="148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48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485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16.3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Fixture contents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7429"/>
        <w:gridCol w:w="2476"/>
      </w:tblGrid>
      <w:tr>
        <w:trPr>
          <w:cantSplit/>
          <w:tblHeader/>
        </w:trPr>
        <w:tc>
          <w:tcPr>
            <w:tcW w:type="dxa" w:w="7429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Fixture</w:t>
            </w:r>
          </w:p>
        </w:tc>
        <w:tc>
          <w:tcPr>
            <w:tcW w:type="dxa" w:w="247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</w:tr>
      <w:tr>
        <w:trPr>
          <w:cantSplit/>
        </w:trPr>
        <w:tc>
          <w:tcPr>
            <w:tcW w:type="dxa" w:w="74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Employees (MOCK-E…)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252</w:t>
            </w:r>
          </w:p>
        </w:tc>
      </w:tr>
      <w:tr>
        <w:trPr>
          <w:cantSplit/>
        </w:trPr>
        <w:tc>
          <w:tcPr>
            <w:tcW w:type="dxa" w:w="742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Employee tags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252</w:t>
            </w:r>
          </w:p>
        </w:tc>
      </w:tr>
      <w:tr>
        <w:trPr>
          <w:cantSplit/>
        </w:trPr>
        <w:tc>
          <w:tcPr>
            <w:tcW w:type="dxa" w:w="74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42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Shared-staff allocations (off by default)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4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Statutory rates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42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calendar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74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Budget rows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42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Insurance premiums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4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Increment log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42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 access rows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4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Alert recipients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42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Payroll runs (12 locked + 1 draft)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74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Snapshot rows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2892</w:t>
            </w:r>
          </w:p>
        </w:tc>
      </w:tr>
      <w:tr>
        <w:trPr>
          <w:cantSplit/>
        </w:trPr>
        <w:tc>
          <w:tcPr>
            <w:tcW w:type="dxa" w:w="7429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 Oct 2026 lines (never reported)</w:t>
            </w:r>
          </w:p>
        </w:tc>
        <w:tc>
          <w:tcPr>
            <w:tcW w:type="dxa" w:w="2476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248</w:t>
            </w:r>
          </w:p>
        </w:tc>
      </w:tr>
      <w:tr>
        <w:trPr>
          <w:cantSplit/>
        </w:trPr>
        <w:tc>
          <w:tcPr>
            <w:tcW w:type="dxa" w:w="742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Statutory payment rows</w:t>
            </w:r>
          </w:p>
        </w:tc>
        <w:tc>
          <w:tcPr>
            <w:tcW w:type="dxa" w:w="247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2E6F8E"/>
          <w:sz w:val="23"/>
          <w:szCs w:val="23"/>
        </w:rPr>
        <w:t xml:space="preserve">16.4  </w:t>
      </w: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Test files, command and versions</w:t>
      </w:r>
    </w:p>
    <w:tbl>
      <w:tblPr>
        <w:tblW w:type="dxa" w:w="9905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  <w:tblLayout w:type="fixed"/>
      </w:tblPr>
      <w:tblGrid>
        <w:gridCol w:w="3467"/>
        <w:gridCol w:w="6438"/>
      </w:tblGrid>
      <w:tr>
        <w:trPr>
          <w:cantSplit/>
          <w:tblHeader/>
        </w:trPr>
        <w:tc>
          <w:tcPr>
            <w:tcW w:type="dxa" w:w="3467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438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Fixture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tests/fixtures/payrollMisMock.js</w:t>
            </w:r>
          </w:p>
        </w:tc>
      </w:tr>
      <w:tr>
        <w:trPr>
          <w:cantSplit/>
        </w:trPr>
        <w:tc>
          <w:tcPr>
            <w:tcW w:type="dxa" w:w="346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 kit (mocks, in-memory lock simulation)</w:t>
            </w:r>
          </w:p>
        </w:tc>
        <w:tc>
          <w:tcPr>
            <w:tcW w:type="dxa" w:w="643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tests/helpers/payrollMisKit.js</w:t>
            </w:r>
          </w:p>
        </w:tc>
      </w:tr>
      <w:tr>
        <w:trPr>
          <w:cantSplit/>
        </w:trPr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tests/payrollMis.test.js, tests/payrollMisOps.test.js</w:t>
            </w:r>
          </w:p>
        </w:tc>
      </w:tr>
      <w:tr>
        <w:trPr>
          <w:cantSplit/>
        </w:trPr>
        <w:tc>
          <w:tcPr>
            <w:tcW w:type="dxa" w:w="346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 generator</w:t>
            </w:r>
          </w:p>
        </w:tc>
        <w:tc>
          <w:tcPr>
            <w:tcW w:type="dxa" w:w="643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scripts/payrollMis/test-report.mjs</w:t>
            </w:r>
          </w:p>
        </w:tc>
      </w:tr>
      <w:tr>
        <w:trPr>
          <w:cantSplit/>
        </w:trPr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Command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npm run test:mis</w:t>
            </w:r>
          </w:p>
        </w:tc>
      </w:tr>
      <w:tr>
        <w:trPr>
          <w:cantSplit/>
        </w:trPr>
        <w:tc>
          <w:tcPr>
            <w:tcW w:type="dxa" w:w="346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</w:t>
            </w:r>
          </w:p>
        </w:tc>
        <w:tc>
          <w:tcPr>
            <w:tcW w:type="dxa" w:w="643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v24.17.0</w:t>
            </w:r>
          </w:p>
        </w:tc>
      </w:tr>
      <w:tr>
        <w:trPr>
          <w:cantSplit/>
        </w:trPr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Vitest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3.2.6</w:t>
            </w:r>
          </w:p>
        </w:tc>
      </w:tr>
      <w:tr>
        <w:trPr>
          <w:cantSplit/>
        </w:trPr>
        <w:tc>
          <w:tcPr>
            <w:tcW w:type="dxa" w:w="3467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docx</w:t>
            </w:r>
          </w:p>
        </w:tc>
        <w:tc>
          <w:tcPr>
            <w:tcW w:type="dxa" w:w="6438"/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9.9.0</w:t>
            </w:r>
          </w:p>
        </w:tc>
      </w:tr>
      <w:tr>
        <w:trPr>
          <w:cantSplit/>
        </w:trPr>
        <w:tc>
          <w:tcPr>
            <w:tcW w:type="dxa" w:w="34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Sample exports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node_modules/.cache/payroll-mis-test/exports (scratch, not committed)</w:t>
            </w:r>
          </w:p>
        </w:tc>
      </w:tr>
    </w:tbl>
    <w:p>
      <w:pPr>
        <w:spacing w:after="30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i/>
          <w:iCs/>
          <w:color w:val="667085"/>
          <w:sz w:val="20"/>
          <w:szCs w:val="20"/>
        </w:rPr>
        <w:t xml:space="preserve">— End of report —</w:t>
      </w:r>
    </w:p>
    <w:sectPr>
      <w:headerReference w:type="default" r:id="rId14"/>
      <w:footerReference w:type="default" r:id="rId15"/>
      <w:pgSz w:w="11906" w:h="16838" w:orient="portrait"/>
      <w:pgMar w:top="1100" w:right="1000" w:bottom="1000" w:left="100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85"/>
        <w:sz w:val="16"/>
        <w:szCs w:val="16"/>
      </w:rPr>
      <w:t xml:space="preserve">Generated 10 October 2026 by npm run test:mis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85"/>
        <w:sz w:val="16"/>
        <w:szCs w:val="16"/>
      </w:rPr>
      <w:t xml:space="preserve">Generated 10 October 2026 by npm run test:mis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85"/>
        <w:sz w:val="16"/>
        <w:szCs w:val="16"/>
      </w:rPr>
      <w:t xml:space="preserve">Generated 10 October 2026 by npm run test:mis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85"/>
        <w:sz w:val="16"/>
        <w:szCs w:val="16"/>
      </w:rPr>
      <w:t xml:space="preserve">Generated 10 October 2026 by npm run test:mis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085"/>
        <w:sz w:val="16"/>
        <w:szCs w:val="16"/>
      </w:rPr>
      <w:t xml:space="preserve">Generated 10 October 2026 by npm run test:mis   ·  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906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Payroll MIS Reports — Test Report</w:t>
    </w:r>
    <w:r>
      <w:rPr>
        <w:rFonts w:ascii="Calibri" w:cs="Calibri" w:eastAsia="Calibri" w:hAnsi="Calibri"/>
        <w:color w:val="667085"/>
        <w:sz w:val="16"/>
        <w:szCs w:val="16"/>
      </w:rPr>
      <w:t xml:space="preserve">	Indus Fire Safety Pvt. Ltd. · Gujarat · Mock data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15038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Payroll MIS Reports — Test Report</w:t>
    </w:r>
    <w:r>
      <w:rPr>
        <w:rFonts w:ascii="Calibri" w:cs="Calibri" w:eastAsia="Calibri" w:hAnsi="Calibri"/>
        <w:color w:val="667085"/>
        <w:sz w:val="16"/>
        <w:szCs w:val="16"/>
      </w:rPr>
      <w:t xml:space="preserve">	Indus Fire Safety Pvt. Ltd. · Gujarat · Mock data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906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Payroll MIS Reports — Test Report</w:t>
    </w:r>
    <w:r>
      <w:rPr>
        <w:rFonts w:ascii="Calibri" w:cs="Calibri" w:eastAsia="Calibri" w:hAnsi="Calibri"/>
        <w:color w:val="667085"/>
        <w:sz w:val="16"/>
        <w:szCs w:val="16"/>
      </w:rPr>
      <w:t xml:space="preserve">	Indus Fire Safety Pvt. Ltd. · Gujarat · Mock data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15038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Payroll MIS Reports — Test Report</w:t>
    </w:r>
    <w:r>
      <w:rPr>
        <w:rFonts w:ascii="Calibri" w:cs="Calibri" w:eastAsia="Calibri" w:hAnsi="Calibri"/>
        <w:color w:val="667085"/>
        <w:sz w:val="16"/>
        <w:szCs w:val="16"/>
      </w:rPr>
      <w:t xml:space="preserve">	Indus Fire Safety Pvt. Ltd. · Gujarat · Mock data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 w:space="4"/>
      </w:pBdr>
      <w:tabs>
        <w:tab w:val="right" w:pos="9906"/>
      </w:tabs>
    </w:pPr>
    <w:r>
      <w:rPr>
        <w:rFonts w:ascii="Calibri" w:cs="Calibri" w:eastAsia="Calibri" w:hAnsi="Calibri"/>
        <w:b/>
        <w:bCs/>
        <w:color w:val="1F3A5F"/>
        <w:sz w:val="16"/>
        <w:szCs w:val="16"/>
      </w:rPr>
      <w:t xml:space="preserve">Payroll MIS Reports — Test Report</w:t>
    </w:r>
    <w:r>
      <w:rPr>
        <w:rFonts w:ascii="Calibri" w:cs="Calibri" w:eastAsia="Calibri" w:hAnsi="Calibri"/>
        <w:color w:val="667085"/>
        <w:sz w:val="16"/>
        <w:szCs w:val="16"/>
      </w:rPr>
      <w:t xml:space="preserve">	Indus Fire Safety Pvt. Ltd. · Gujarat · Mock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60" w:before="60"/>
    </w:pPr>
    <w:rPr>
      <w:color w:val="1F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theme" Target="theme/theme1.xm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MIS Reports — Test Report</dc:title>
  <dc:creator>Payroll MIS test run</dc:creator>
  <dc:description>Payroll MIS mock-data test results — PASS</dc:description>
  <cp:lastModifiedBy>Un-named</cp:lastModifiedBy>
  <cp:revision>1</cp:revision>
  <dcterms:created xsi:type="dcterms:W3CDTF">2026-10-10T11:28:11.419Z</dcterms:created>
  <dcterms:modified xsi:type="dcterms:W3CDTF">2026-10-10T11:28:11.419Z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