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Calibri" w:hAnsi="Calibri"/>
          <w:b/>
          <w:i w:val="0"/>
          <w:color w:val="1C3761"/>
          <w:sz w:val="48"/>
        </w:rPr>
        <w:t>KATHMANDU DISTRICT</w:t>
      </w:r>
    </w:p>
    <w:p>
      <w:pPr>
        <w:spacing w:before="0" w:after="120"/>
        <w:jc w:val="center"/>
      </w:pPr>
      <w:r>
        <w:rPr>
          <w:rFonts w:ascii="Calibri" w:hAnsi="Calibri"/>
          <w:b/>
          <w:i w:val="0"/>
          <w:color w:val="1C3761"/>
          <w:sz w:val="34"/>
        </w:rPr>
        <w:t>Tuberculosis Surveillance</w:t>
      </w:r>
    </w:p>
    <w:p>
      <w:pPr>
        <w:spacing w:before="0" w:after="120"/>
        <w:jc w:val="center"/>
      </w:pPr>
      <w:r>
        <w:rPr>
          <w:rFonts w:ascii="Calibri" w:hAnsi="Calibri"/>
          <w:b/>
          <w:i w:val="0"/>
          <w:color w:val="1C3761"/>
          <w:sz w:val="34"/>
        </w:rPr>
        <w:t>Standardization &amp; Harmonization</w:t>
      </w:r>
    </w:p>
    <w:p>
      <w:pPr>
        <w:spacing w:before="200" w:after="120"/>
        <w:jc w:val="center"/>
      </w:pPr>
      <w:r>
        <w:rPr>
          <w:rFonts w:ascii="Calibri" w:hAnsi="Calibri"/>
          <w:b w:val="0"/>
          <w:i w:val="0"/>
          <w:color w:val="374151"/>
          <w:sz w:val="26"/>
        </w:rPr>
        <w:t>Full Phase-wise Project Report</w:t>
      </w:r>
    </w:p>
    <w:p>
      <w:pPr>
        <w:spacing w:before="40" w:after="40"/>
        <w:pBdr>
          <w:bottom w:val="single" w:sz="6" w:color="d1d5db"/>
        </w:pBdr>
      </w:pPr>
    </w:p>
    <w:p>
      <w:pPr>
        <w:spacing w:before="160" w:after="120"/>
        <w:jc w:val="center"/>
      </w:pPr>
      <w:r>
        <w:rPr>
          <w:rFonts w:ascii="Calibri" w:hAnsi="Calibri"/>
          <w:b w:val="0"/>
          <w:i/>
          <w:color w:val="6B7280"/>
          <w:sz w:val="22"/>
        </w:rPr>
        <w:t>BS 2078 Baishak — BS 2082 Asar  |  April 2021 – July 2025</w:t>
      </w:r>
    </w:p>
    <w:p>
      <w:pPr>
        <w:spacing w:before="0" w:after="120"/>
        <w:jc w:val="center"/>
      </w:pPr>
      <w:r>
        <w:rPr>
          <w:rFonts w:ascii="Calibri" w:hAnsi="Calibri"/>
          <w:b w:val="0"/>
          <w:i/>
          <w:color w:val="9CA3AF"/>
          <w:sz w:val="20"/>
        </w:rPr>
        <w:t>Kathmandu District · Bagmati Province · Nepal</w:t>
      </w:r>
    </w:p>
    <w:p>
      <w:pPr>
        <w:spacing w:before="320" w:after="120"/>
        <w:jc w:val="left"/>
      </w:pPr>
      <w:r>
        <w:rPr>
          <w:rFonts w:ascii="Calibri" w:hAnsi="Calibri"/>
          <w:b w:val="0"/>
          <w:i w:val="0"/>
        </w:rPr>
      </w:r>
    </w:p>
    <w:tbl>
      <w:tblPr>
        <w:tblStyle w:val="TableGrid"/>
        <w:tblW w:type="auto" w:w="0"/>
        <w:jc w:val="center"/>
        <w:tblLook w:firstColumn="1" w:firstRow="1" w:lastColumn="0" w:lastRow="0" w:noHBand="0" w:noVBand="1" w:val="04A0"/>
      </w:tblPr>
      <w:tblGrid>
        <w:gridCol w:w="4536"/>
        <w:gridCol w:w="4536"/>
      </w:tblGrid>
      <w:tr>
        <w:tc>
          <w:tcPr>
            <w:tcW w:type="dxa" w:w="3118"/>
            <w:shd w:val="clear" w:color="auto" w:fill="1c3761"/>
          </w:tcPr>
          <w:p>
            <w:pPr>
              <w:jc w:val="center"/>
            </w:pPr>
            <w:r>
              <w:rPr>
                <w:rFonts w:ascii="Calibri" w:hAnsi="Calibri"/>
                <w:b/>
                <w:color w:val="FFFFFF"/>
                <w:sz w:val="19"/>
              </w:rPr>
              <w:t>Metric</w:t>
            </w:r>
          </w:p>
        </w:tc>
        <w:tc>
          <w:tcPr>
            <w:tcW w:type="dxa" w:w="6066"/>
            <w:shd w:val="clear" w:color="auto" w:fill="1c3761"/>
          </w:tcPr>
          <w:p>
            <w:pPr>
              <w:jc w:val="center"/>
            </w:pPr>
            <w:r>
              <w:rPr>
                <w:rFonts w:ascii="Calibri" w:hAnsi="Calibri"/>
                <w:b/>
                <w:color w:val="FFFFFF"/>
                <w:sz w:val="19"/>
              </w:rPr>
              <w:t>Value</w:t>
            </w:r>
          </w:p>
        </w:tc>
      </w:tr>
      <w:tr>
        <w:tc>
          <w:tcPr>
            <w:tcW w:type="dxa" w:w="3118"/>
            <w:shd w:val="clear" w:color="auto" w:fill="ffffff"/>
          </w:tcPr>
          <w:p>
            <w:r>
              <w:rPr>
                <w:rFonts w:ascii="Calibri" w:hAnsi="Calibri"/>
                <w:sz w:val="19"/>
              </w:rPr>
              <w:t>Study period</w:t>
            </w:r>
          </w:p>
        </w:tc>
        <w:tc>
          <w:tcPr>
            <w:tcW w:type="dxa" w:w="6066"/>
            <w:shd w:val="clear" w:color="auto" w:fill="ffffff"/>
          </w:tcPr>
          <w:p>
            <w:r>
              <w:rPr>
                <w:rFonts w:ascii="Calibri" w:hAnsi="Calibri"/>
                <w:sz w:val="19"/>
              </w:rPr>
              <w:t>BS 2078 Baishak to BS 2082 Asar (60 months)</w:t>
            </w:r>
          </w:p>
        </w:tc>
      </w:tr>
      <w:tr>
        <w:tc>
          <w:tcPr>
            <w:tcW w:type="dxa" w:w="3118"/>
            <w:shd w:val="clear" w:color="auto" w:fill="f9fafb"/>
          </w:tcPr>
          <w:p>
            <w:r>
              <w:rPr>
                <w:rFonts w:ascii="Calibri" w:hAnsi="Calibri"/>
                <w:sz w:val="19"/>
              </w:rPr>
              <w:t>Total new TB cases</w:t>
            </w:r>
          </w:p>
        </w:tc>
        <w:tc>
          <w:tcPr>
            <w:tcW w:type="dxa" w:w="6066"/>
            <w:shd w:val="clear" w:color="auto" w:fill="f9fafb"/>
          </w:tcPr>
          <w:p>
            <w:r>
              <w:rPr>
                <w:rFonts w:ascii="Calibri" w:hAnsi="Calibri"/>
                <w:sz w:val="19"/>
              </w:rPr>
              <w:t>17,263</w:t>
            </w:r>
          </w:p>
        </w:tc>
      </w:tr>
      <w:tr>
        <w:tc>
          <w:tcPr>
            <w:tcW w:type="dxa" w:w="3118"/>
            <w:shd w:val="clear" w:color="auto" w:fill="ffffff"/>
          </w:tcPr>
          <w:p>
            <w:r>
              <w:rPr>
                <w:rFonts w:ascii="Calibri" w:hAnsi="Calibri"/>
                <w:sz w:val="19"/>
              </w:rPr>
              <w:t>Treatment success rate (5-year)</w:t>
            </w:r>
          </w:p>
        </w:tc>
        <w:tc>
          <w:tcPr>
            <w:tcW w:type="dxa" w:w="6066"/>
            <w:shd w:val="clear" w:color="auto" w:fill="ffffff"/>
          </w:tcPr>
          <w:p>
            <w:r>
              <w:rPr>
                <w:rFonts w:ascii="Calibri" w:hAnsi="Calibri"/>
                <w:sz w:val="19"/>
              </w:rPr>
              <w:t>84.0%</w:t>
            </w:r>
          </w:p>
        </w:tc>
      </w:tr>
      <w:tr>
        <w:tc>
          <w:tcPr>
            <w:tcW w:type="dxa" w:w="3118"/>
            <w:shd w:val="clear" w:color="auto" w:fill="f9fafb"/>
          </w:tcPr>
          <w:p>
            <w:r>
              <w:rPr>
                <w:rFonts w:ascii="Calibri" w:hAnsi="Calibri"/>
                <w:sz w:val="19"/>
              </w:rPr>
              <w:t>Average notification rate</w:t>
            </w:r>
          </w:p>
        </w:tc>
        <w:tc>
          <w:tcPr>
            <w:tcW w:type="dxa" w:w="6066"/>
            <w:shd w:val="clear" w:color="auto" w:fill="f9fafb"/>
          </w:tcPr>
          <w:p>
            <w:r>
              <w:rPr>
                <w:rFonts w:ascii="Calibri" w:hAnsi="Calibri"/>
                <w:sz w:val="19"/>
              </w:rPr>
              <w:t>164.1 per 100,000 population</w:t>
            </w:r>
          </w:p>
        </w:tc>
      </w:tr>
      <w:tr>
        <w:tc>
          <w:tcPr>
            <w:tcW w:type="dxa" w:w="3118"/>
            <w:shd w:val="clear" w:color="auto" w:fill="ffffff"/>
          </w:tcPr>
          <w:p>
            <w:r>
              <w:rPr>
                <w:rFonts w:ascii="Calibri" w:hAnsi="Calibri"/>
                <w:sz w:val="19"/>
              </w:rPr>
              <w:t>FHIR MeasureReport resources</w:t>
            </w:r>
          </w:p>
        </w:tc>
        <w:tc>
          <w:tcPr>
            <w:tcW w:type="dxa" w:w="6066"/>
            <w:shd w:val="clear" w:color="auto" w:fill="ffffff"/>
          </w:tcPr>
          <w:p>
            <w:r>
              <w:rPr>
                <w:rFonts w:ascii="Calibri" w:hAnsi="Calibri"/>
                <w:sz w:val="19"/>
              </w:rPr>
              <w:t>1,920 (32 variables × 60 months)</w:t>
            </w:r>
          </w:p>
        </w:tc>
      </w:tr>
      <w:tr>
        <w:tc>
          <w:tcPr>
            <w:tcW w:type="dxa" w:w="3118"/>
            <w:shd w:val="clear" w:color="auto" w:fill="f9fafb"/>
          </w:tcPr>
          <w:p>
            <w:r>
              <w:rPr>
                <w:rFonts w:ascii="Calibri" w:hAnsi="Calibri"/>
                <w:sz w:val="19"/>
              </w:rPr>
              <w:t>FHIR validation pass rate</w:t>
            </w:r>
          </w:p>
        </w:tc>
        <w:tc>
          <w:tcPr>
            <w:tcW w:type="dxa" w:w="6066"/>
            <w:shd w:val="clear" w:color="auto" w:fill="f9fafb"/>
          </w:tcPr>
          <w:p>
            <w:r>
              <w:rPr>
                <w:rFonts w:ascii="Calibri" w:hAnsi="Calibri"/>
                <w:sz w:val="19"/>
              </w:rPr>
              <w:t>100% (77,368 checks)</w:t>
            </w:r>
          </w:p>
        </w:tc>
      </w:tr>
      <w:tr>
        <w:tc>
          <w:tcPr>
            <w:tcW w:type="dxa" w:w="3118"/>
            <w:shd w:val="clear" w:color="auto" w:fill="ffffff"/>
          </w:tcPr>
          <w:p>
            <w:r>
              <w:rPr>
                <w:rFonts w:ascii="Calibri" w:hAnsi="Calibri"/>
                <w:sz w:val="19"/>
              </w:rPr>
              <w:t>IG version</w:t>
            </w:r>
          </w:p>
        </w:tc>
        <w:tc>
          <w:tcPr>
            <w:tcW w:type="dxa" w:w="6066"/>
            <w:shd w:val="clear" w:color="auto" w:fill="ffffff"/>
          </w:tcPr>
          <w:p>
            <w:r>
              <w:rPr>
                <w:rFonts w:ascii="Calibri" w:hAnsi="Calibri"/>
                <w:sz w:val="19"/>
              </w:rPr>
              <w:t>v1.0.0 STU1 — iihms.nepal.tb</w:t>
            </w:r>
          </w:p>
        </w:tc>
      </w:tr>
      <w:tr>
        <w:tc>
          <w:tcPr>
            <w:tcW w:type="dxa" w:w="3118"/>
            <w:shd w:val="clear" w:color="auto" w:fill="f9fafb"/>
          </w:tcPr>
          <w:p>
            <w:r>
              <w:rPr>
                <w:rFonts w:ascii="Calibri" w:hAnsi="Calibri"/>
                <w:sz w:val="19"/>
              </w:rPr>
              <w:t>Data standard</w:t>
            </w:r>
          </w:p>
        </w:tc>
        <w:tc>
          <w:tcPr>
            <w:tcW w:type="dxa" w:w="6066"/>
            <w:shd w:val="clear" w:color="auto" w:fill="f9fafb"/>
          </w:tcPr>
          <w:p>
            <w:r>
              <w:rPr>
                <w:rFonts w:ascii="Calibri" w:hAnsi="Calibri"/>
                <w:sz w:val="19"/>
              </w:rPr>
              <w:t>HL7 FHIR R4 (4.0.1)</w:t>
            </w:r>
          </w:p>
        </w:tc>
      </w:tr>
      <w:tr>
        <w:tc>
          <w:tcPr>
            <w:tcW w:type="dxa" w:w="3118"/>
            <w:shd w:val="clear" w:color="auto" w:fill="ffffff"/>
          </w:tcPr>
          <w:p>
            <w:r>
              <w:rPr>
                <w:rFonts w:ascii="Calibri" w:hAnsi="Calibri"/>
                <w:sz w:val="19"/>
              </w:rPr>
              <w:t>Report date</w:t>
            </w:r>
          </w:p>
        </w:tc>
        <w:tc>
          <w:tcPr>
            <w:tcW w:type="dxa" w:w="6066"/>
            <w:shd w:val="clear" w:color="auto" w:fill="ffffff"/>
          </w:tcPr>
          <w:p>
            <w:r>
              <w:rPr>
                <w:rFonts w:ascii="Calibri" w:hAnsi="Calibri"/>
                <w:sz w:val="19"/>
              </w:rPr>
              <w:t>2026-06-05</w:t>
            </w:r>
          </w:p>
        </w:tc>
      </w:tr>
    </w:tbl>
    <w:p/>
    <w:p>
      <w:pPr>
        <w:spacing w:before="40" w:after="40"/>
        <w:pBdr>
          <w:bottom w:val="single" w:sz="6" w:color="d1d5db"/>
        </w:pBdr>
      </w:pPr>
    </w:p>
    <w:p>
      <w:pPr>
        <w:spacing w:before="0" w:after="120"/>
        <w:jc w:val="center"/>
      </w:pPr>
      <w:r>
        <w:rPr>
          <w:rFonts w:ascii="Calibri" w:hAnsi="Calibri"/>
          <w:b w:val="0"/>
          <w:i/>
          <w:color w:val="9CA3AF"/>
          <w:sz w:val="18"/>
        </w:rPr>
        <w:t>Data Source: Nepal NTP / IIHMS DHIS2  ·  FHIR Canonical: https://iihms.gov.np/fhir</w:t>
      </w:r>
    </w:p>
    <w:p>
      <w:r>
        <w:br w:type="page"/>
      </w:r>
    </w:p>
    <w:p>
      <w:pPr>
        <w:pStyle w:val="Heading1"/>
      </w:pPr>
      <w:r>
        <w:t>Table of Contents</w:t>
      </w:r>
    </w:p>
    <w:p>
      <w:pPr>
        <w:pStyle w:val="ListNumber"/>
        <w:spacing w:after="40"/>
      </w:pPr>
      <w:r>
        <w:rPr>
          <w:sz w:val="21"/>
        </w:rPr>
        <w:t>Executive Summary</w:t>
      </w:r>
    </w:p>
    <w:p>
      <w:pPr>
        <w:pStyle w:val="ListNumber"/>
        <w:spacing w:after="40"/>
      </w:pPr>
      <w:r>
        <w:rPr>
          <w:sz w:val="21"/>
        </w:rPr>
        <w:t>Phase 1 — Data Ingestion &amp; Quality Assessment</w:t>
      </w:r>
    </w:p>
    <w:p>
      <w:pPr>
        <w:pStyle w:val="ListNumber"/>
        <w:spacing w:after="40"/>
      </w:pPr>
      <w:r>
        <w:rPr>
          <w:sz w:val="21"/>
        </w:rPr>
        <w:t>Phase 2 — Data Cleaning &amp; Standardisation</w:t>
      </w:r>
    </w:p>
    <w:p>
      <w:pPr>
        <w:pStyle w:val="ListNumber"/>
        <w:spacing w:after="40"/>
      </w:pPr>
      <w:r>
        <w:rPr>
          <w:sz w:val="21"/>
        </w:rPr>
        <w:t>Phase 3 — Indicator Operationalisation &amp; FHIR Harmonization</w:t>
      </w:r>
    </w:p>
    <w:p>
      <w:pPr>
        <w:pStyle w:val="ListNumber"/>
        <w:spacing w:after="40"/>
      </w:pPr>
      <w:r>
        <w:rPr>
          <w:sz w:val="21"/>
        </w:rPr>
        <w:t>Phase 4 — FHIR Transformation &amp; Extension Engineering</w:t>
      </w:r>
    </w:p>
    <w:p>
      <w:pPr>
        <w:pStyle w:val="ListNumber"/>
        <w:spacing w:after="40"/>
      </w:pPr>
      <w:r>
        <w:rPr>
          <w:sz w:val="21"/>
        </w:rPr>
        <w:t>Phase 5 — FHIR Implementation Guide (IG v1.0.0 STU1)</w:t>
      </w:r>
    </w:p>
    <w:p>
      <w:pPr>
        <w:pStyle w:val="ListNumber"/>
        <w:spacing w:after="40"/>
      </w:pPr>
      <w:r>
        <w:rPr>
          <w:sz w:val="21"/>
        </w:rPr>
        <w:t>Phase 6 — Gap Analysis &amp; Sensitivity Testing</w:t>
      </w:r>
    </w:p>
    <w:p>
      <w:pPr>
        <w:pStyle w:val="ListNumber"/>
        <w:spacing w:after="40"/>
      </w:pPr>
      <w:r>
        <w:rPr>
          <w:sz w:val="21"/>
        </w:rPr>
        <w:t>Phase 7 — Visualization &amp; Dashboard</w:t>
      </w:r>
    </w:p>
    <w:p>
      <w:pPr>
        <w:pStyle w:val="ListNumber"/>
        <w:spacing w:after="40"/>
      </w:pPr>
      <w:r>
        <w:rPr>
          <w:sz w:val="21"/>
        </w:rPr>
        <w:t>Summary — Deliverables, Findings &amp; Recommendations</w:t>
      </w:r>
    </w:p>
    <w:p>
      <w:r>
        <w:br w:type="page"/>
      </w:r>
    </w:p>
    <w:p>
      <w:pPr>
        <w:pStyle w:val="Heading1"/>
      </w:pPr>
      <w:r>
        <w:t>Executive Summary</w:t>
      </w:r>
    </w:p>
    <w:p>
      <w:pPr>
        <w:spacing w:before="0" w:after="120"/>
        <w:jc w:val="left"/>
      </w:pPr>
      <w:r>
        <w:rPr>
          <w:rFonts w:ascii="Calibri" w:hAnsi="Calibri"/>
          <w:b w:val="0"/>
          <w:i w:val="0"/>
        </w:rPr>
        <w:t>This report presents the complete technical and analytical documentation of the Kathmandu District TB Surveillance Standardization &amp; Harmonization Project — a seven-phase initiative that transforms 60 months of raw tuberculosis surveillance data from the Nepal Integrated Information and Health Management System (IIHMS) DHIS2 platform into fully HL7 FHIR R4-compliant, internationally interoperable health information resources.</w:t>
      </w:r>
    </w:p>
    <w:p>
      <w:pPr>
        <w:spacing w:before="0" w:after="120"/>
        <w:jc w:val="left"/>
      </w:pPr>
      <w:r>
        <w:rPr>
          <w:rFonts w:ascii="Calibri" w:hAnsi="Calibri"/>
          <w:b w:val="0"/>
          <w:i w:val="0"/>
        </w:rPr>
        <w:t>The project covers Kathmandu District, the most populous urban district in Nepal (population ≈ 2.05–2.19 million), over the period BS 2078 Baishak to BS 2082 Asar (April 2021 – July 2025). The resulting FHIR layer — 1,920 MeasureReport instances underpinned by 32 Measure definitions and a published Implementation Guide — enables direct data exchange with WHO, OpenHIE, and DHIS2 FHIR bridges without any intermediate transformation.</w:t>
      </w:r>
    </w:p>
    <w:p>
      <w:pPr>
        <w:pStyle w:val="Heading2"/>
      </w:pPr>
      <w:r>
        <w:t>Key Results at a Glance</w:t>
      </w:r>
    </w:p>
    <w:p>
      <w:pPr>
        <w:spacing w:before="160" w:after="40"/>
      </w:pPr>
      <w:r>
        <w:rPr>
          <w:i/>
          <w:color w:val="6B7280"/>
          <w:sz w:val="18"/>
        </w:rPr>
        <w:t>Table ES.1 — Executive Summary of Key Results</w:t>
      </w:r>
    </w:p>
    <w:tbl>
      <w:tblPr>
        <w:tblStyle w:val="TableGrid"/>
        <w:tblW w:type="auto" w:w="0"/>
        <w:jc w:val="center"/>
        <w:tblLook w:firstColumn="1" w:firstRow="1" w:lastColumn="0" w:lastRow="0" w:noHBand="0" w:noVBand="1" w:val="04A0"/>
      </w:tblPr>
      <w:tblGrid>
        <w:gridCol w:w="3024"/>
        <w:gridCol w:w="3024"/>
        <w:gridCol w:w="3024"/>
      </w:tblGrid>
      <w:tr>
        <w:tc>
          <w:tcPr>
            <w:tcW w:type="dxa" w:w="2835"/>
            <w:shd w:val="clear" w:color="auto" w:fill="1c3761"/>
          </w:tcPr>
          <w:p>
            <w:pPr>
              <w:jc w:val="center"/>
            </w:pPr>
            <w:r>
              <w:rPr>
                <w:rFonts w:ascii="Calibri" w:hAnsi="Calibri"/>
                <w:b/>
                <w:color w:val="FFFFFF"/>
                <w:sz w:val="19"/>
              </w:rPr>
              <w:t>Indicator</w:t>
            </w:r>
          </w:p>
        </w:tc>
        <w:tc>
          <w:tcPr>
            <w:tcW w:type="dxa" w:w="2835"/>
            <w:shd w:val="clear" w:color="auto" w:fill="1c3761"/>
          </w:tcPr>
          <w:p>
            <w:pPr>
              <w:jc w:val="center"/>
            </w:pPr>
            <w:r>
              <w:rPr>
                <w:rFonts w:ascii="Calibri" w:hAnsi="Calibri"/>
                <w:b/>
                <w:color w:val="FFFFFF"/>
                <w:sz w:val="19"/>
              </w:rPr>
              <w:t>5-Year Result</w:t>
            </w:r>
          </w:p>
        </w:tc>
        <w:tc>
          <w:tcPr>
            <w:tcW w:type="dxa" w:w="3515"/>
            <w:shd w:val="clear" w:color="auto" w:fill="1c3761"/>
          </w:tcPr>
          <w:p>
            <w:pPr>
              <w:jc w:val="center"/>
            </w:pPr>
            <w:r>
              <w:rPr>
                <w:rFonts w:ascii="Calibri" w:hAnsi="Calibri"/>
                <w:b/>
                <w:color w:val="FFFFFF"/>
                <w:sz w:val="19"/>
              </w:rPr>
              <w:t>Reference / Benchmark</w:t>
            </w:r>
          </w:p>
        </w:tc>
      </w:tr>
      <w:tr>
        <w:tc>
          <w:tcPr>
            <w:tcW w:type="dxa" w:w="2835"/>
            <w:shd w:val="clear" w:color="auto" w:fill="ffffff"/>
          </w:tcPr>
          <w:p>
            <w:r>
              <w:rPr>
                <w:rFonts w:ascii="Calibri" w:hAnsi="Calibri"/>
                <w:sz w:val="19"/>
              </w:rPr>
              <w:t>Total new TB cases</w:t>
            </w:r>
          </w:p>
        </w:tc>
        <w:tc>
          <w:tcPr>
            <w:tcW w:type="dxa" w:w="2835"/>
            <w:shd w:val="clear" w:color="auto" w:fill="ffffff"/>
          </w:tcPr>
          <w:p>
            <w:r>
              <w:rPr>
                <w:rFonts w:ascii="Calibri" w:hAnsi="Calibri"/>
                <w:sz w:val="19"/>
              </w:rPr>
              <w:t>17,263 (60 months)</w:t>
            </w:r>
          </w:p>
        </w:tc>
        <w:tc>
          <w:tcPr>
            <w:tcW w:type="dxa" w:w="3515"/>
            <w:shd w:val="clear" w:color="auto" w:fill="ffffff"/>
          </w:tcPr>
          <w:p>
            <w:r>
              <w:rPr>
                <w:rFonts w:ascii="Calibri" w:hAnsi="Calibri"/>
                <w:sz w:val="19"/>
              </w:rPr>
              <w:t>—</w:t>
            </w:r>
          </w:p>
        </w:tc>
      </w:tr>
      <w:tr>
        <w:tc>
          <w:tcPr>
            <w:tcW w:type="dxa" w:w="2835"/>
            <w:shd w:val="clear" w:color="auto" w:fill="f9fafb"/>
          </w:tcPr>
          <w:p>
            <w:r>
              <w:rPr>
                <w:rFonts w:ascii="Calibri" w:hAnsi="Calibri"/>
                <w:sz w:val="19"/>
              </w:rPr>
              <w:t>Average monthly cases</w:t>
            </w:r>
          </w:p>
        </w:tc>
        <w:tc>
          <w:tcPr>
            <w:tcW w:type="dxa" w:w="2835"/>
            <w:shd w:val="clear" w:color="auto" w:fill="f9fafb"/>
          </w:tcPr>
          <w:p>
            <w:r>
              <w:rPr>
                <w:rFonts w:ascii="Calibri" w:hAnsi="Calibri"/>
                <w:sz w:val="19"/>
              </w:rPr>
              <w:t>288</w:t>
            </w:r>
          </w:p>
        </w:tc>
        <w:tc>
          <w:tcPr>
            <w:tcW w:type="dxa" w:w="3515"/>
            <w:shd w:val="clear" w:color="auto" w:fill="f9fafb"/>
          </w:tcPr>
          <w:p>
            <w:r>
              <w:rPr>
                <w:rFonts w:ascii="Calibri" w:hAnsi="Calibri"/>
                <w:sz w:val="19"/>
              </w:rPr>
              <w:t>Range: 176–432</w:t>
            </w:r>
          </w:p>
        </w:tc>
      </w:tr>
      <w:tr>
        <w:tc>
          <w:tcPr>
            <w:tcW w:type="dxa" w:w="2835"/>
            <w:shd w:val="clear" w:color="auto" w:fill="ffffff"/>
          </w:tcPr>
          <w:p>
            <w:r>
              <w:rPr>
                <w:rFonts w:ascii="Calibri" w:hAnsi="Calibri"/>
                <w:sz w:val="19"/>
              </w:rPr>
              <w:t>Annualised notification rate</w:t>
            </w:r>
          </w:p>
        </w:tc>
        <w:tc>
          <w:tcPr>
            <w:tcW w:type="dxa" w:w="2835"/>
            <w:shd w:val="clear" w:color="auto" w:fill="ffffff"/>
          </w:tcPr>
          <w:p>
            <w:r>
              <w:rPr>
                <w:rFonts w:ascii="Calibri" w:hAnsi="Calibri"/>
                <w:sz w:val="19"/>
              </w:rPr>
              <w:t>164.1 /100k</w:t>
            </w:r>
          </w:p>
        </w:tc>
        <w:tc>
          <w:tcPr>
            <w:tcW w:type="dxa" w:w="3515"/>
            <w:shd w:val="clear" w:color="auto" w:fill="ffffff"/>
          </w:tcPr>
          <w:p>
            <w:r>
              <w:rPr>
                <w:rFonts w:ascii="Calibri" w:hAnsi="Calibri"/>
                <w:sz w:val="19"/>
              </w:rPr>
              <w:t>NTP expected: 100–200/100k</w:t>
            </w:r>
          </w:p>
        </w:tc>
      </w:tr>
      <w:tr>
        <w:tc>
          <w:tcPr>
            <w:tcW w:type="dxa" w:w="2835"/>
            <w:shd w:val="clear" w:color="auto" w:fill="f9fafb"/>
          </w:tcPr>
          <w:p>
            <w:r>
              <w:rPr>
                <w:rFonts w:ascii="Calibri" w:hAnsi="Calibri"/>
                <w:sz w:val="19"/>
              </w:rPr>
              <w:t>Treatment Success Rate (TSR)</w:t>
            </w:r>
          </w:p>
        </w:tc>
        <w:tc>
          <w:tcPr>
            <w:tcW w:type="dxa" w:w="2835"/>
            <w:shd w:val="clear" w:color="auto" w:fill="f9fafb"/>
          </w:tcPr>
          <w:p>
            <w:r>
              <w:rPr>
                <w:rFonts w:ascii="Calibri" w:hAnsi="Calibri"/>
                <w:sz w:val="19"/>
              </w:rPr>
              <w:t>84.0%</w:t>
            </w:r>
          </w:p>
        </w:tc>
        <w:tc>
          <w:tcPr>
            <w:tcW w:type="dxa" w:w="3515"/>
            <w:shd w:val="clear" w:color="auto" w:fill="f9fafb"/>
          </w:tcPr>
          <w:p>
            <w:r>
              <w:rPr>
                <w:rFonts w:ascii="Calibri" w:hAnsi="Calibri"/>
                <w:sz w:val="19"/>
              </w:rPr>
              <w:t>—</w:t>
            </w:r>
          </w:p>
        </w:tc>
      </w:tr>
      <w:tr>
        <w:tc>
          <w:tcPr>
            <w:tcW w:type="dxa" w:w="2835"/>
            <w:shd w:val="clear" w:color="auto" w:fill="ffffff"/>
          </w:tcPr>
          <w:p>
            <w:r>
              <w:rPr>
                <w:rFonts w:ascii="Calibri" w:hAnsi="Calibri"/>
                <w:sz w:val="19"/>
              </w:rPr>
              <w:t>Bacteriological confirmation</w:t>
            </w:r>
          </w:p>
        </w:tc>
        <w:tc>
          <w:tcPr>
            <w:tcW w:type="dxa" w:w="2835"/>
            <w:shd w:val="clear" w:color="auto" w:fill="ffffff"/>
          </w:tcPr>
          <w:p>
            <w:r>
              <w:rPr>
                <w:rFonts w:ascii="Calibri" w:hAnsi="Calibri"/>
                <w:sz w:val="19"/>
              </w:rPr>
              <w:t>41.1% (mean)</w:t>
            </w:r>
          </w:p>
        </w:tc>
        <w:tc>
          <w:tcPr>
            <w:tcW w:type="dxa" w:w="3515"/>
            <w:shd w:val="clear" w:color="auto" w:fill="ffffff"/>
          </w:tcPr>
          <w:p>
            <w:r>
              <w:rPr>
                <w:rFonts w:ascii="Calibri" w:hAnsi="Calibri"/>
                <w:sz w:val="19"/>
              </w:rPr>
              <w:t>—</w:t>
            </w:r>
          </w:p>
        </w:tc>
      </w:tr>
      <w:tr>
        <w:tc>
          <w:tcPr>
            <w:tcW w:type="dxa" w:w="2835"/>
            <w:shd w:val="clear" w:color="auto" w:fill="f9fafb"/>
          </w:tcPr>
          <w:p>
            <w:r>
              <w:rPr>
                <w:rFonts w:ascii="Calibri" w:hAnsi="Calibri"/>
                <w:sz w:val="19"/>
              </w:rPr>
              <w:t>TB-HIV co-infection</w:t>
            </w:r>
          </w:p>
        </w:tc>
        <w:tc>
          <w:tcPr>
            <w:tcW w:type="dxa" w:w="2835"/>
            <w:shd w:val="clear" w:color="auto" w:fill="f9fafb"/>
          </w:tcPr>
          <w:p>
            <w:r>
              <w:rPr>
                <w:rFonts w:ascii="Calibri" w:hAnsi="Calibri"/>
                <w:sz w:val="19"/>
              </w:rPr>
              <w:t>163 total; 0.94% mean proportion</w:t>
            </w:r>
          </w:p>
        </w:tc>
        <w:tc>
          <w:tcPr>
            <w:tcW w:type="dxa" w:w="3515"/>
            <w:shd w:val="clear" w:color="auto" w:fill="f9fafb"/>
          </w:tcPr>
          <w:p>
            <w:r>
              <w:rPr>
                <w:rFonts w:ascii="Calibri" w:hAnsi="Calibri"/>
                <w:sz w:val="19"/>
              </w:rPr>
              <w:t>—</w:t>
            </w:r>
          </w:p>
        </w:tc>
      </w:tr>
      <w:tr>
        <w:tc>
          <w:tcPr>
            <w:tcW w:type="dxa" w:w="2835"/>
            <w:shd w:val="clear" w:color="auto" w:fill="ffffff"/>
          </w:tcPr>
          <w:p>
            <w:r>
              <w:rPr>
                <w:rFonts w:ascii="Calibri" w:hAnsi="Calibri"/>
                <w:sz w:val="19"/>
              </w:rPr>
              <w:t>M:F notification ratio</w:t>
            </w:r>
          </w:p>
        </w:tc>
        <w:tc>
          <w:tcPr>
            <w:tcW w:type="dxa" w:w="2835"/>
            <w:shd w:val="clear" w:color="auto" w:fill="ffffff"/>
          </w:tcPr>
          <w:p>
            <w:r>
              <w:rPr>
                <w:rFonts w:ascii="Calibri" w:hAnsi="Calibri"/>
                <w:sz w:val="19"/>
              </w:rPr>
              <w:t>1.19 (mean, 57 months)</w:t>
            </w:r>
          </w:p>
        </w:tc>
        <w:tc>
          <w:tcPr>
            <w:tcW w:type="dxa" w:w="3515"/>
            <w:shd w:val="clear" w:color="auto" w:fill="ffffff"/>
          </w:tcPr>
          <w:p>
            <w:r>
              <w:rPr>
                <w:rFonts w:ascii="Calibri" w:hAnsi="Calibri"/>
                <w:sz w:val="19"/>
              </w:rPr>
              <w:t>Males outnumber females</w:t>
            </w:r>
          </w:p>
        </w:tc>
      </w:tr>
      <w:tr>
        <w:tc>
          <w:tcPr>
            <w:tcW w:type="dxa" w:w="2835"/>
            <w:shd w:val="clear" w:color="auto" w:fill="f9fafb"/>
          </w:tcPr>
          <w:p>
            <w:r>
              <w:rPr>
                <w:rFonts w:ascii="Calibri" w:hAnsi="Calibri"/>
                <w:sz w:val="19"/>
              </w:rPr>
              <w:t>Peak age group</w:t>
            </w:r>
          </w:p>
        </w:tc>
        <w:tc>
          <w:tcPr>
            <w:tcW w:type="dxa" w:w="2835"/>
            <w:shd w:val="clear" w:color="auto" w:fill="f9fafb"/>
          </w:tcPr>
          <w:p>
            <w:r>
              <w:rPr>
                <w:rFonts w:ascii="Calibri" w:hAnsi="Calibri"/>
                <w:sz w:val="19"/>
              </w:rPr>
              <w:t>15–24 years (26.2% of cases)</w:t>
            </w:r>
          </w:p>
        </w:tc>
        <w:tc>
          <w:tcPr>
            <w:tcW w:type="dxa" w:w="3515"/>
            <w:shd w:val="clear" w:color="auto" w:fill="f9fafb"/>
          </w:tcPr>
          <w:p>
            <w:r>
              <w:rPr>
                <w:rFonts w:ascii="Calibri" w:hAnsi="Calibri"/>
                <w:sz w:val="19"/>
              </w:rPr>
              <w:t>Working-age TB pattern</w:t>
            </w:r>
          </w:p>
        </w:tc>
      </w:tr>
      <w:tr>
        <w:tc>
          <w:tcPr>
            <w:tcW w:type="dxa" w:w="2835"/>
            <w:shd w:val="clear" w:color="auto" w:fill="ffffff"/>
          </w:tcPr>
          <w:p>
            <w:r>
              <w:rPr>
                <w:rFonts w:ascii="Calibri" w:hAnsi="Calibri"/>
                <w:sz w:val="19"/>
              </w:rPr>
              <w:t>LTFU rate</w:t>
            </w:r>
          </w:p>
        </w:tc>
        <w:tc>
          <w:tcPr>
            <w:tcW w:type="dxa" w:w="2835"/>
            <w:shd w:val="clear" w:color="auto" w:fill="ffffff"/>
          </w:tcPr>
          <w:p>
            <w:r>
              <w:rPr>
                <w:rFonts w:ascii="Calibri" w:hAnsi="Calibri"/>
                <w:sz w:val="19"/>
              </w:rPr>
              <w:t>1.9% (mean)</w:t>
            </w:r>
          </w:p>
        </w:tc>
        <w:tc>
          <w:tcPr>
            <w:tcW w:type="dxa" w:w="3515"/>
            <w:shd w:val="clear" w:color="auto" w:fill="ffffff"/>
          </w:tcPr>
          <w:p>
            <w:r>
              <w:rPr>
                <w:rFonts w:ascii="Calibri" w:hAnsi="Calibri"/>
                <w:sz w:val="19"/>
              </w:rPr>
              <w:t>Low; below regional average</w:t>
            </w:r>
          </w:p>
        </w:tc>
      </w:tr>
      <w:tr>
        <w:tc>
          <w:tcPr>
            <w:tcW w:type="dxa" w:w="2835"/>
            <w:shd w:val="clear" w:color="auto" w:fill="f9fafb"/>
          </w:tcPr>
          <w:p>
            <w:r>
              <w:rPr>
                <w:rFonts w:ascii="Calibri" w:hAnsi="Calibri"/>
                <w:sz w:val="19"/>
              </w:rPr>
              <w:t>Mortality rate</w:t>
            </w:r>
          </w:p>
        </w:tc>
        <w:tc>
          <w:tcPr>
            <w:tcW w:type="dxa" w:w="2835"/>
            <w:shd w:val="clear" w:color="auto" w:fill="f9fafb"/>
          </w:tcPr>
          <w:p>
            <w:r>
              <w:rPr>
                <w:rFonts w:ascii="Calibri" w:hAnsi="Calibri"/>
                <w:sz w:val="19"/>
              </w:rPr>
              <w:t>2.2% (mean)</w:t>
            </w:r>
          </w:p>
        </w:tc>
        <w:tc>
          <w:tcPr>
            <w:tcW w:type="dxa" w:w="3515"/>
            <w:shd w:val="clear" w:color="auto" w:fill="f9fafb"/>
          </w:tcPr>
          <w:p>
            <w:r>
              <w:rPr>
                <w:rFonts w:ascii="Calibri" w:hAnsi="Calibri"/>
                <w:sz w:val="19"/>
              </w:rPr>
              <w:t>Stable across 5 years</w:t>
            </w:r>
          </w:p>
        </w:tc>
      </w:tr>
      <w:tr>
        <w:tc>
          <w:tcPr>
            <w:tcW w:type="dxa" w:w="2835"/>
            <w:shd w:val="clear" w:color="auto" w:fill="ffffff"/>
          </w:tcPr>
          <w:p>
            <w:r>
              <w:rPr>
                <w:rFonts w:ascii="Calibri" w:hAnsi="Calibri"/>
                <w:sz w:val="19"/>
              </w:rPr>
              <w:t>FHIR resources generated</w:t>
            </w:r>
          </w:p>
        </w:tc>
        <w:tc>
          <w:tcPr>
            <w:tcW w:type="dxa" w:w="2835"/>
            <w:shd w:val="clear" w:color="auto" w:fill="ffffff"/>
          </w:tcPr>
          <w:p>
            <w:r>
              <w:rPr>
                <w:rFonts w:ascii="Calibri" w:hAnsi="Calibri"/>
                <w:sz w:val="19"/>
              </w:rPr>
              <w:t>32 Measures + 1,920 MeasureReports</w:t>
            </w:r>
          </w:p>
        </w:tc>
        <w:tc>
          <w:tcPr>
            <w:tcW w:type="dxa" w:w="3515"/>
            <w:shd w:val="clear" w:color="auto" w:fill="ffffff"/>
          </w:tcPr>
          <w:p>
            <w:r>
              <w:rPr>
                <w:rFonts w:ascii="Calibri" w:hAnsi="Calibri"/>
                <w:sz w:val="19"/>
              </w:rPr>
              <w:t>100% validation pass</w:t>
            </w:r>
          </w:p>
        </w:tc>
      </w:tr>
      <w:tr>
        <w:tc>
          <w:tcPr>
            <w:tcW w:type="dxa" w:w="2835"/>
            <w:shd w:val="clear" w:color="auto" w:fill="f9fafb"/>
          </w:tcPr>
          <w:p>
            <w:r>
              <w:rPr>
                <w:rFonts w:ascii="Calibri" w:hAnsi="Calibri"/>
                <w:sz w:val="19"/>
              </w:rPr>
              <w:t>Data completeness</w:t>
            </w:r>
          </w:p>
        </w:tc>
        <w:tc>
          <w:tcPr>
            <w:tcW w:type="dxa" w:w="2835"/>
            <w:shd w:val="clear" w:color="auto" w:fill="f9fafb"/>
          </w:tcPr>
          <w:p>
            <w:r>
              <w:rPr>
                <w:rFonts w:ascii="Calibri" w:hAnsi="Calibri"/>
                <w:sz w:val="19"/>
              </w:rPr>
              <w:t>95% (57/60 months full)</w:t>
            </w:r>
          </w:p>
        </w:tc>
        <w:tc>
          <w:tcPr>
            <w:tcW w:type="dxa" w:w="3515"/>
            <w:shd w:val="clear" w:color="auto" w:fill="f9fafb"/>
          </w:tcPr>
          <w:p>
            <w:r>
              <w:rPr>
                <w:rFonts w:ascii="Calibri" w:hAnsi="Calibri"/>
                <w:sz w:val="19"/>
              </w:rPr>
              <w:t>3-month structural gap (BS 2078 Q1)</w:t>
            </w:r>
          </w:p>
        </w:tc>
      </w:tr>
    </w:tbl>
    <w:p/>
    <w:p>
      <w:pPr>
        <w:pStyle w:val="Heading2"/>
      </w:pPr>
      <w:r>
        <w:t>End-to-End Pipeline Overview</w:t>
      </w:r>
    </w:p>
    <w:p>
      <w:pPr>
        <w:spacing w:before="0" w:after="120"/>
        <w:jc w:val="left"/>
      </w:pPr>
      <w:r>
        <w:rPr>
          <w:rFonts w:ascii="Calibri" w:hAnsi="Calibri"/>
          <w:b w:val="0"/>
          <w:i w:val="0"/>
        </w:rPr>
        <w:t>The figure below shows the full data pipeline from the raw Excel input through all transformation stages to the final FHIR Implementation Guide.</w:t>
      </w:r>
    </w:p>
    <w:p>
      <w:pPr>
        <w:jc w:val="center"/>
      </w:pPr>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chart_001.png"/>
                    <pic:cNvPicPr/>
                  </pic:nvPicPr>
                  <pic:blipFill>
                    <a:blip r:embed="rId9"/>
                    <a:stretch>
                      <a:fillRect/>
                    </a:stretch>
                  </pic:blipFill>
                  <pic:spPr>
                    <a:xfrm>
                      <a:off x="0" y="0"/>
                      <a:ext cx="5486400" cy="2743200"/>
                    </a:xfrm>
                    <a:prstGeom prst="rect"/>
                  </pic:spPr>
                </pic:pic>
              </a:graphicData>
            </a:graphic>
          </wp:inline>
        </w:drawing>
      </w:r>
    </w:p>
    <w:p>
      <w:pPr>
        <w:spacing w:before="40" w:after="160"/>
        <w:jc w:val="center"/>
      </w:pPr>
      <w:r>
        <w:rPr>
          <w:i/>
          <w:color w:val="6B7280"/>
          <w:sz w:val="18"/>
        </w:rPr>
        <w:t>Figure ES.1 — End-to-end data pipeline: Raw Excel → Cleaned CSV → Harmonized CSV → FHIR Resources → IG</w:t>
      </w:r>
    </w:p>
    <w:p>
      <w:r>
        <w:br w:type="page"/>
      </w:r>
    </w:p>
    <w:p>
      <w:pPr>
        <w:pStyle w:val="Heading1"/>
      </w:pPr>
      <w:r>
        <w:t>Phase 1 — Data Ingestion &amp; Quality Assessment</w:t>
      </w:r>
    </w:p>
    <w:tbl>
      <w:tblPr>
        <w:tblStyle w:val="TableGrid"/>
        <w:tblW w:type="auto" w:w="0"/>
        <w:jc w:val="center"/>
        <w:tblLook w:firstColumn="1" w:firstRow="1" w:lastColumn="0" w:lastRow="0" w:noHBand="0" w:noVBand="1" w:val="04A0"/>
      </w:tblPr>
      <w:tblGrid>
        <w:gridCol w:w="9072"/>
      </w:tblGrid>
      <w:tr>
        <w:tc>
          <w:tcPr>
            <w:tcW w:type="dxa" w:w="9072"/>
            <w:shd w:val="clear" w:color="auto" w:fill="eff6ff"/>
          </w:tcPr>
          <w:p>
            <w:pPr>
              <w:spacing w:before="80" w:after="80"/>
            </w:pPr>
            <w:r>
              <w:rPr>
                <w:b/>
                <w:color w:val="1C3761"/>
                <w:sz w:val="22"/>
              </w:rPr>
              <w:t>PHASE 1  —  Data Ingestion &amp; Quality Assessment</w:t>
              <w:br/>
            </w:r>
            <w:r>
              <w:rPr>
                <w:b/>
                <w:color w:val="1C3761"/>
                <w:sz w:val="19"/>
              </w:rPr>
              <w:t xml:space="preserve">Objective: </w:t>
            </w:r>
            <w:r>
              <w:rPr>
                <w:color w:val="374151"/>
                <w:sz w:val="19"/>
              </w:rPr>
              <w:t>Establish the completeness, consistency, and epidemiological plausibility of the raw source dataset.</w:t>
              <w:br/>
            </w:r>
            <w:r>
              <w:rPr>
                <w:b/>
                <w:color w:val="1C3761"/>
                <w:sz w:val="19"/>
              </w:rPr>
              <w:t xml:space="preserve">Inputs: </w:t>
            </w:r>
            <w:r>
              <w:rPr>
                <w:color w:val="374151"/>
                <w:sz w:val="19"/>
              </w:rPr>
              <w:t>Final_KTM_data_set.xlsx (0.02 MB, 1 sheet, 60 rows × 34 columns)</w:t>
              <w:br/>
            </w:r>
            <w:r>
              <w:rPr>
                <w:b/>
                <w:color w:val="1C3761"/>
                <w:sz w:val="19"/>
              </w:rPr>
              <w:t xml:space="preserve">Outputs: </w:t>
            </w:r>
            <w:r>
              <w:rPr>
                <w:color w:val="374151"/>
                <w:sz w:val="19"/>
              </w:rPr>
              <w:t>Data Inspection Report, Data Dictionary, Quality Assessment Report</w:t>
              <w:br/>
            </w:r>
            <w:r>
              <w:rPr>
                <w:b/>
                <w:color w:val="1C3761"/>
                <w:sz w:val="19"/>
              </w:rPr>
              <w:t xml:space="preserve">Scripts: </w:t>
            </w:r>
            <w:r>
              <w:rPr>
                <w:color w:val="374151"/>
                <w:sz w:val="19"/>
              </w:rPr>
              <w:t>01_load_and_profile.py, 02_comprehensive_inspection.py</w:t>
              <w:br/>
            </w:r>
          </w:p>
        </w:tc>
      </w:tr>
    </w:tbl>
    <w:p/>
    <w:p>
      <w:pPr>
        <w:pStyle w:val="Heading2"/>
      </w:pPr>
      <w:r>
        <w:t>1.1  Background &amp; Context</w:t>
      </w:r>
    </w:p>
    <w:p>
      <w:pPr>
        <w:spacing w:before="0" w:after="120"/>
        <w:jc w:val="left"/>
      </w:pPr>
      <w:r>
        <w:rPr>
          <w:rFonts w:ascii="Calibri" w:hAnsi="Calibri"/>
          <w:b w:val="0"/>
          <w:i w:val="0"/>
        </w:rPr>
        <w:t>Nepal's National Tuberculosis Programme (NTP) collects monthly TB surveillance data at the district level through the IIHMS DHIS2 platform. Kathmandu District is the programme's highest-burden urban district, accounting for approximately 8–10% of Nepal's total annual TB notifications. For BS 2078–2082, this data was exported as a structured Excel file covering 60 consecutive calendar months.</w:t>
      </w:r>
    </w:p>
    <w:p>
      <w:pPr>
        <w:spacing w:before="0" w:after="120"/>
        <w:jc w:val="left"/>
      </w:pPr>
      <w:r>
        <w:rPr>
          <w:rFonts w:ascii="Calibri" w:hAnsi="Calibri"/>
          <w:b w:val="0"/>
          <w:i w:val="0"/>
        </w:rPr>
        <w:t>Phase 1 constitutes the analytical foundation of the entire project. Before any transformation or indicator computation can begin, it is essential to understand the structure, coverage, and reliability of the source data. This phase applies a three-tier quality assessment framework: (1) completeness profiling, (2) cross-variable consistency checking, and (3) epidemiological plausibility testing against Nepal NTP benchmarks.</w:t>
      </w:r>
    </w:p>
    <w:p>
      <w:pPr>
        <w:pStyle w:val="Heading2"/>
      </w:pPr>
      <w:r>
        <w:t>1.2  Dataset Structure &amp; Schema</w:t>
      </w:r>
    </w:p>
    <w:p>
      <w:pPr>
        <w:spacing w:before="0" w:after="120"/>
        <w:jc w:val="left"/>
      </w:pPr>
      <w:r>
        <w:rPr>
          <w:rFonts w:ascii="Calibri" w:hAnsi="Calibri"/>
          <w:b w:val="0"/>
          <w:i w:val="0"/>
        </w:rPr>
        <w:t>The source file contains a single Monthly Summary worksheet with one row per calendar month and 34 columns. Columns span five semantic groups:</w:t>
      </w:r>
    </w:p>
    <w:p>
      <w:pPr>
        <w:spacing w:before="160" w:after="40"/>
      </w:pPr>
      <w:r>
        <w:rPr>
          <w:i/>
          <w:color w:val="6B7280"/>
          <w:sz w:val="18"/>
        </w:rPr>
        <w:t>Table 1.1 — Source Dataset Column Groups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984"/>
            <w:shd w:val="clear" w:color="auto" w:fill="1c3761"/>
          </w:tcPr>
          <w:p>
            <w:pPr>
              <w:jc w:val="center"/>
            </w:pPr>
            <w:r>
              <w:rPr>
                <w:rFonts w:ascii="Calibri" w:hAnsi="Calibri"/>
                <w:b/>
                <w:color w:val="FFFFFF"/>
                <w:sz w:val="19"/>
              </w:rPr>
              <w:t>Group</w:t>
            </w:r>
          </w:p>
        </w:tc>
        <w:tc>
          <w:tcPr>
            <w:tcW w:type="dxa" w:w="850"/>
            <w:shd w:val="clear" w:color="auto" w:fill="1c3761"/>
          </w:tcPr>
          <w:p>
            <w:pPr>
              <w:jc w:val="center"/>
            </w:pPr>
            <w:r>
              <w:rPr>
                <w:rFonts w:ascii="Calibri" w:hAnsi="Calibri"/>
                <w:b/>
                <w:color w:val="FFFFFF"/>
                <w:sz w:val="19"/>
              </w:rPr>
              <w:t># Cols</w:t>
            </w:r>
          </w:p>
        </w:tc>
        <w:tc>
          <w:tcPr>
            <w:tcW w:type="dxa" w:w="3969"/>
            <w:shd w:val="clear" w:color="auto" w:fill="1c3761"/>
          </w:tcPr>
          <w:p>
            <w:pPr>
              <w:jc w:val="center"/>
            </w:pPr>
            <w:r>
              <w:rPr>
                <w:rFonts w:ascii="Calibri" w:hAnsi="Calibri"/>
                <w:b/>
                <w:color w:val="FFFFFF"/>
                <w:sz w:val="19"/>
              </w:rPr>
              <w:t>Variables</w:t>
            </w:r>
          </w:p>
        </w:tc>
        <w:tc>
          <w:tcPr>
            <w:tcW w:type="dxa" w:w="2381"/>
            <w:shd w:val="clear" w:color="auto" w:fill="1c3761"/>
          </w:tcPr>
          <w:p>
            <w:pPr>
              <w:jc w:val="center"/>
            </w:pPr>
            <w:r>
              <w:rPr>
                <w:rFonts w:ascii="Calibri" w:hAnsi="Calibri"/>
                <w:b/>
                <w:color w:val="FFFFFF"/>
                <w:sz w:val="19"/>
              </w:rPr>
              <w:t>Notes</w:t>
            </w:r>
          </w:p>
        </w:tc>
      </w:tr>
      <w:tr>
        <w:tc>
          <w:tcPr>
            <w:tcW w:type="dxa" w:w="1984"/>
            <w:shd w:val="clear" w:color="auto" w:fill="ffffff"/>
          </w:tcPr>
          <w:p>
            <w:r>
              <w:rPr>
                <w:rFonts w:ascii="Calibri" w:hAnsi="Calibri"/>
                <w:sz w:val="19"/>
              </w:rPr>
              <w:t>Time identifiers</w:t>
            </w:r>
          </w:p>
        </w:tc>
        <w:tc>
          <w:tcPr>
            <w:tcW w:type="dxa" w:w="850"/>
            <w:shd w:val="clear" w:color="auto" w:fill="ffffff"/>
          </w:tcPr>
          <w:p>
            <w:r>
              <w:rPr>
                <w:rFonts w:ascii="Calibri" w:hAnsi="Calibri"/>
                <w:sz w:val="19"/>
              </w:rPr>
              <w:t>3</w:t>
            </w:r>
          </w:p>
        </w:tc>
        <w:tc>
          <w:tcPr>
            <w:tcW w:type="dxa" w:w="3969"/>
            <w:shd w:val="clear" w:color="auto" w:fill="ffffff"/>
          </w:tcPr>
          <w:p>
            <w:r>
              <w:rPr>
                <w:rFonts w:ascii="Calibri" w:hAnsi="Calibri"/>
                <w:sz w:val="19"/>
              </w:rPr>
              <w:t>BS_Month, BS_Year, AD_Year</w:t>
            </w:r>
          </w:p>
        </w:tc>
        <w:tc>
          <w:tcPr>
            <w:tcW w:type="dxa" w:w="2381"/>
            <w:shd w:val="clear" w:color="auto" w:fill="ffffff"/>
          </w:tcPr>
          <w:p>
            <w:r>
              <w:rPr>
                <w:rFonts w:ascii="Calibri" w:hAnsi="Calibri"/>
                <w:sz w:val="19"/>
              </w:rPr>
              <w:t>Dual calendar system (BS + Gregorian)</w:t>
            </w:r>
          </w:p>
        </w:tc>
      </w:tr>
      <w:tr>
        <w:tc>
          <w:tcPr>
            <w:tcW w:type="dxa" w:w="1984"/>
            <w:shd w:val="clear" w:color="auto" w:fill="f9fafb"/>
          </w:tcPr>
          <w:p>
            <w:r>
              <w:rPr>
                <w:rFonts w:ascii="Calibri" w:hAnsi="Calibri"/>
                <w:sz w:val="19"/>
              </w:rPr>
              <w:t>Population denominator</w:t>
            </w:r>
          </w:p>
        </w:tc>
        <w:tc>
          <w:tcPr>
            <w:tcW w:type="dxa" w:w="850"/>
            <w:shd w:val="clear" w:color="auto" w:fill="f9fafb"/>
          </w:tcPr>
          <w:p>
            <w:r>
              <w:rPr>
                <w:rFonts w:ascii="Calibri" w:hAnsi="Calibri"/>
                <w:sz w:val="19"/>
              </w:rPr>
              <w:t>1</w:t>
            </w:r>
          </w:p>
        </w:tc>
        <w:tc>
          <w:tcPr>
            <w:tcW w:type="dxa" w:w="3969"/>
            <w:shd w:val="clear" w:color="auto" w:fill="f9fafb"/>
          </w:tcPr>
          <w:p>
            <w:r>
              <w:rPr>
                <w:rFonts w:ascii="Calibri" w:hAnsi="Calibri"/>
                <w:sz w:val="19"/>
              </w:rPr>
              <w:t>District Pop (CBS Mid-Year)</w:t>
            </w:r>
          </w:p>
        </w:tc>
        <w:tc>
          <w:tcPr>
            <w:tcW w:type="dxa" w:w="2381"/>
            <w:shd w:val="clear" w:color="auto" w:fill="f9fafb"/>
          </w:tcPr>
          <w:p>
            <w:r>
              <w:rPr>
                <w:rFonts w:ascii="Calibri" w:hAnsi="Calibri"/>
                <w:sz w:val="19"/>
              </w:rPr>
              <w:t>Annual CBS estimates, interpolated monthly</w:t>
            </w:r>
          </w:p>
        </w:tc>
      </w:tr>
      <w:tr>
        <w:tc>
          <w:tcPr>
            <w:tcW w:type="dxa" w:w="1984"/>
            <w:shd w:val="clear" w:color="auto" w:fill="ffffff"/>
          </w:tcPr>
          <w:p>
            <w:r>
              <w:rPr>
                <w:rFonts w:ascii="Calibri" w:hAnsi="Calibri"/>
                <w:sz w:val="19"/>
              </w:rPr>
              <w:t>Notification counts</w:t>
            </w:r>
          </w:p>
        </w:tc>
        <w:tc>
          <w:tcPr>
            <w:tcW w:type="dxa" w:w="850"/>
            <w:shd w:val="clear" w:color="auto" w:fill="ffffff"/>
          </w:tcPr>
          <w:p>
            <w:r>
              <w:rPr>
                <w:rFonts w:ascii="Calibri" w:hAnsi="Calibri"/>
                <w:sz w:val="19"/>
              </w:rPr>
              <w:t>9</w:t>
            </w:r>
          </w:p>
        </w:tc>
        <w:tc>
          <w:tcPr>
            <w:tcW w:type="dxa" w:w="3969"/>
            <w:shd w:val="clear" w:color="auto" w:fill="ffffff"/>
          </w:tcPr>
          <w:p>
            <w:r>
              <w:rPr>
                <w:rFonts w:ascii="Calibri" w:hAnsi="Calibri"/>
                <w:sz w:val="19"/>
              </w:rPr>
              <w:t>New cases (total/F/M), Relapse (F/M/total), Total TB (F/M), TB-HIV</w:t>
            </w:r>
          </w:p>
        </w:tc>
        <w:tc>
          <w:tcPr>
            <w:tcW w:type="dxa" w:w="2381"/>
            <w:shd w:val="clear" w:color="auto" w:fill="ffffff"/>
          </w:tcPr>
          <w:p>
            <w:r>
              <w:rPr>
                <w:rFonts w:ascii="Calibri" w:hAnsi="Calibri"/>
                <w:sz w:val="19"/>
              </w:rPr>
              <w:t>Core NTP reporting variables</w:t>
            </w:r>
          </w:p>
        </w:tc>
      </w:tr>
      <w:tr>
        <w:tc>
          <w:tcPr>
            <w:tcW w:type="dxa" w:w="1984"/>
            <w:shd w:val="clear" w:color="auto" w:fill="f9fafb"/>
          </w:tcPr>
          <w:p>
            <w:r>
              <w:rPr>
                <w:rFonts w:ascii="Calibri" w:hAnsi="Calibri"/>
                <w:sz w:val="19"/>
              </w:rPr>
              <w:t>Treatment outcomes</w:t>
            </w:r>
          </w:p>
        </w:tc>
        <w:tc>
          <w:tcPr>
            <w:tcW w:type="dxa" w:w="850"/>
            <w:shd w:val="clear" w:color="auto" w:fill="f9fafb"/>
          </w:tcPr>
          <w:p>
            <w:r>
              <w:rPr>
                <w:rFonts w:ascii="Calibri" w:hAnsi="Calibri"/>
                <w:sz w:val="19"/>
              </w:rPr>
              <w:t>6</w:t>
            </w:r>
          </w:p>
        </w:tc>
        <w:tc>
          <w:tcPr>
            <w:tcW w:type="dxa" w:w="3969"/>
            <w:shd w:val="clear" w:color="auto" w:fill="f9fafb"/>
          </w:tcPr>
          <w:p>
            <w:r>
              <w:rPr>
                <w:rFonts w:ascii="Calibri" w:hAnsi="Calibri"/>
                <w:sz w:val="19"/>
              </w:rPr>
              <w:t>PBC Reg, Cured, Failed, Died, LTFU, Not Evaluated</w:t>
            </w:r>
          </w:p>
        </w:tc>
        <w:tc>
          <w:tcPr>
            <w:tcW w:type="dxa" w:w="2381"/>
            <w:shd w:val="clear" w:color="auto" w:fill="f9fafb"/>
          </w:tcPr>
          <w:p>
            <w:r>
              <w:rPr>
                <w:rFonts w:ascii="Calibri" w:hAnsi="Calibri"/>
                <w:sz w:val="19"/>
              </w:rPr>
              <w:t>Cohort-based; follows PBC registration</w:t>
            </w:r>
          </w:p>
        </w:tc>
      </w:tr>
      <w:tr>
        <w:tc>
          <w:tcPr>
            <w:tcW w:type="dxa" w:w="1984"/>
            <w:shd w:val="clear" w:color="auto" w:fill="ffffff"/>
          </w:tcPr>
          <w:p>
            <w:r>
              <w:rPr>
                <w:rFonts w:ascii="Calibri" w:hAnsi="Calibri"/>
                <w:sz w:val="19"/>
              </w:rPr>
              <w:t>Age-sex bands</w:t>
            </w:r>
          </w:p>
        </w:tc>
        <w:tc>
          <w:tcPr>
            <w:tcW w:type="dxa" w:w="850"/>
            <w:shd w:val="clear" w:color="auto" w:fill="ffffff"/>
          </w:tcPr>
          <w:p>
            <w:r>
              <w:rPr>
                <w:rFonts w:ascii="Calibri" w:hAnsi="Calibri"/>
                <w:sz w:val="19"/>
              </w:rPr>
              <w:t>16</w:t>
            </w:r>
          </w:p>
        </w:tc>
        <w:tc>
          <w:tcPr>
            <w:tcW w:type="dxa" w:w="3969"/>
            <w:shd w:val="clear" w:color="auto" w:fill="ffffff"/>
          </w:tcPr>
          <w:p>
            <w:r>
              <w:rPr>
                <w:rFonts w:ascii="Calibri" w:hAnsi="Calibri"/>
                <w:sz w:val="19"/>
              </w:rPr>
              <w:t>0–4, 5–14, 15–24, 25–34, 35–44, 45–54, 55–64, 65+ (F+M)</w:t>
            </w:r>
          </w:p>
        </w:tc>
        <w:tc>
          <w:tcPr>
            <w:tcW w:type="dxa" w:w="2381"/>
            <w:shd w:val="clear" w:color="auto" w:fill="ffffff"/>
          </w:tcPr>
          <w:p>
            <w:r>
              <w:rPr>
                <w:rFonts w:ascii="Calibri" w:hAnsi="Calibri"/>
                <w:sz w:val="19"/>
              </w:rPr>
              <w:t>New cases only; absent in gap months</w:t>
            </w:r>
          </w:p>
        </w:tc>
      </w:tr>
    </w:tbl>
    <w:p/>
    <w:p>
      <w:pPr>
        <w:pStyle w:val="Heading2"/>
      </w:pPr>
      <w:r>
        <w:t>1.3  Completeness Analysis</w:t>
      </w:r>
    </w:p>
    <w:p>
      <w:pPr>
        <w:spacing w:before="0" w:after="120"/>
        <w:jc w:val="left"/>
      </w:pPr>
      <w:r>
        <w:rPr>
          <w:rFonts w:ascii="Calibri" w:hAnsi="Calibri"/>
          <w:b w:val="0"/>
          <w:i w:val="0"/>
        </w:rPr>
        <w:t>A cell-by-cell completeness scan identified two categories of missing data. The first is a structural gap affecting Baishak, Jestha, and Asar BS 2078 (chron_order 1–3): all 24 sex/age-disaggregated variables are absent, resulting in 72 missing cells. The second is a single isolated missing value in the relapse_total column for BS 2079 Magh — likely a data entry omission that can be safely derived from relapse_female + relapse_male.</w:t>
      </w:r>
    </w:p>
    <w:p>
      <w:pPr>
        <w:spacing w:before="0" w:after="120"/>
        <w:jc w:val="left"/>
      </w:pPr>
      <w:r>
        <w:rPr>
          <w:rFonts w:ascii="Calibri" w:hAnsi="Calibri"/>
          <w:b w:val="0"/>
          <w:i w:val="0"/>
        </w:rPr>
        <w:t>Critically, all 6 treatment outcome columns (PBC Registered, Cured, Failed, Died, LTFU, Not Evaluated) and the HIV co-infection column are fully populated for all 60 months. This means the primary programme performance indicators can be computed across the complete study period with no imputation required.</w:t>
      </w:r>
    </w:p>
    <w:p>
      <w:pPr>
        <w:jc w:val="center"/>
      </w:pPr>
      <w:r>
        <w:drawing>
          <wp:inline xmlns:a="http://schemas.openxmlformats.org/drawingml/2006/main" xmlns:pic="http://schemas.openxmlformats.org/drawingml/2006/picture">
            <wp:extent cx="5486400" cy="4389120"/>
            <wp:docPr id="2" name="Picture 2"/>
            <wp:cNvGraphicFramePr>
              <a:graphicFrameLocks noChangeAspect="1"/>
            </wp:cNvGraphicFramePr>
            <a:graphic>
              <a:graphicData uri="http://schemas.openxmlformats.org/drawingml/2006/picture">
                <pic:pic>
                  <pic:nvPicPr>
                    <pic:cNvPr id="0" name="chart_002.png"/>
                    <pic:cNvPicPr/>
                  </pic:nvPicPr>
                  <pic:blipFill>
                    <a:blip r:embed="rId10"/>
                    <a:stretch>
                      <a:fillRect/>
                    </a:stretch>
                  </pic:blipFill>
                  <pic:spPr>
                    <a:xfrm>
                      <a:off x="0" y="0"/>
                      <a:ext cx="5486400" cy="4389120"/>
                    </a:xfrm>
                    <a:prstGeom prst="rect"/>
                  </pic:spPr>
                </pic:pic>
              </a:graphicData>
            </a:graphic>
          </wp:inline>
        </w:drawing>
      </w:r>
    </w:p>
    <w:p>
      <w:pPr>
        <w:spacing w:before="40" w:after="160"/>
        <w:jc w:val="center"/>
      </w:pPr>
      <w:r>
        <w:rPr>
          <w:i/>
          <w:color w:val="6B7280"/>
          <w:sz w:val="18"/>
        </w:rPr>
        <w:t>Figure 1.1 — Column-level completeness (green = complete, red = gap/missing)</w:t>
      </w:r>
    </w:p>
    <w:p>
      <w:pPr>
        <w:pStyle w:val="Heading2"/>
      </w:pPr>
      <w:r>
        <w:t>1.4  Data-Absent-Reason Heatmap</w:t>
      </w:r>
    </w:p>
    <w:p>
      <w:pPr>
        <w:spacing w:before="0" w:after="120"/>
        <w:jc w:val="left"/>
      </w:pPr>
      <w:r>
        <w:rPr>
          <w:rFonts w:ascii="Calibri" w:hAnsi="Calibri"/>
          <w:b w:val="0"/>
          <w:i w:val="0"/>
        </w:rPr>
        <w:t>The heatmap below provides a granular view of the 72 cells that will receive HL7 data-absent-reason encoding in Phase 4. The pattern is consistent and mechanistic: all 24 sex/age columns are absent for exactly the first 3 months, and fully present for all subsequent 57 months. This pattern is diagnostic of a systemic reporting system gap rather than random or selective omission.</w:t>
      </w:r>
    </w:p>
    <w:p>
      <w:pPr>
        <w:jc w:val="center"/>
      </w:pPr>
      <w:r>
        <w:drawing>
          <wp:inline xmlns:a="http://schemas.openxmlformats.org/drawingml/2006/main" xmlns:pic="http://schemas.openxmlformats.org/drawingml/2006/picture">
            <wp:extent cx="5486400" cy="3762103"/>
            <wp:docPr id="3" name="Picture 3"/>
            <wp:cNvGraphicFramePr>
              <a:graphicFrameLocks noChangeAspect="1"/>
            </wp:cNvGraphicFramePr>
            <a:graphic>
              <a:graphicData uri="http://schemas.openxmlformats.org/drawingml/2006/picture">
                <pic:pic>
                  <pic:nvPicPr>
                    <pic:cNvPr id="0" name="chart_003.png"/>
                    <pic:cNvPicPr/>
                  </pic:nvPicPr>
                  <pic:blipFill>
                    <a:blip r:embed="rId11"/>
                    <a:stretch>
                      <a:fillRect/>
                    </a:stretch>
                  </pic:blipFill>
                  <pic:spPr>
                    <a:xfrm>
                      <a:off x="0" y="0"/>
                      <a:ext cx="5486400" cy="3762103"/>
                    </a:xfrm>
                    <a:prstGeom prst="rect"/>
                  </pic:spPr>
                </pic:pic>
              </a:graphicData>
            </a:graphic>
          </wp:inline>
        </w:drawing>
      </w:r>
    </w:p>
    <w:p>
      <w:pPr>
        <w:spacing w:before="40" w:after="160"/>
        <w:jc w:val="center"/>
      </w:pPr>
      <w:r>
        <w:rPr>
          <w:i/>
          <w:color w:val="6B7280"/>
          <w:sz w:val="18"/>
        </w:rPr>
        <w:t>Figure 1.2 — DAR heatmap: 72 flagged cells (Baishak–Asar 2078, red = missing)</w:t>
      </w:r>
    </w:p>
    <w:tbl>
      <w:tblPr>
        <w:tblStyle w:val="TableGrid"/>
        <w:tblW w:type="auto" w:w="0"/>
        <w:tblLook w:firstColumn="1" w:firstRow="1" w:lastColumn="0" w:lastRow="0" w:noHBand="0" w:noVBand="1" w:val="04A0"/>
      </w:tblPr>
      <w:tblGrid>
        <w:gridCol w:w="9072"/>
      </w:tblGrid>
      <w:tr>
        <w:tc>
          <w:tcPr>
            <w:tcW w:type="dxa" w:w="9072"/>
            <w:shd w:val="clear" w:color="auto" w:fill="fff7ed"/>
          </w:tcPr>
          <w:p>
            <w:pPr>
              <w:spacing w:before="60" w:after="60"/>
            </w:pPr>
            <w:r>
              <w:rPr>
                <w:b/>
                <w:color w:val="D97706"/>
                <w:sz w:val="19"/>
              </w:rPr>
              <w:t xml:space="preserve">IMPORTANT:  </w:t>
            </w:r>
            <w:r>
              <w:rPr>
                <w:color w:val="1F2937"/>
                <w:sz w:val="19"/>
              </w:rPr>
              <w:t>The 3-month gap coincides with BS 2078 Q1 (April–July 2021), the period of the second COVID-19 wave in Nepal. IIHMS DHIS2 data entry for sex-disaggregated TB variables was disrupted during this period across multiple Bagmati Province districts. The gap is classified as MNAR (Missing Not At Random) — structural.</w:t>
            </w:r>
          </w:p>
        </w:tc>
      </w:tr>
    </w:tbl>
    <w:p/>
    <w:p>
      <w:pPr>
        <w:pStyle w:val="Heading2"/>
      </w:pPr>
      <w:r>
        <w:t>1.5  Population Denominators</w:t>
      </w:r>
    </w:p>
    <w:p>
      <w:pPr>
        <w:spacing w:before="0" w:after="120"/>
        <w:jc w:val="left"/>
      </w:pPr>
      <w:r>
        <w:rPr>
          <w:rFonts w:ascii="Calibri" w:hAnsi="Calibri"/>
          <w:b w:val="0"/>
          <w:i w:val="0"/>
        </w:rPr>
        <w:t>All notification rate calculations use annual mid-year population estimates from the Nepal Central Bureau of Statistics (CBS). These are the official denominators used by the Nepal NTP for national reporting. The population of Kathmandu District grew at a steady rate of approximately 1.35% per year over the study period, from 2,049,618 in BS 2078 to 2,188,035 in BS 2082 — an increase of 138,417 (+6.75%).</w:t>
      </w:r>
    </w:p>
    <w:p>
      <w:pPr>
        <w:jc w:val="center"/>
      </w:pPr>
      <w:r>
        <w:drawing>
          <wp:inline xmlns:a="http://schemas.openxmlformats.org/drawingml/2006/main" xmlns:pic="http://schemas.openxmlformats.org/drawingml/2006/picture">
            <wp:extent cx="5029200" cy="2155371"/>
            <wp:docPr id="4" name="Picture 4"/>
            <wp:cNvGraphicFramePr>
              <a:graphicFrameLocks noChangeAspect="1"/>
            </wp:cNvGraphicFramePr>
            <a:graphic>
              <a:graphicData uri="http://schemas.openxmlformats.org/drawingml/2006/picture">
                <pic:pic>
                  <pic:nvPicPr>
                    <pic:cNvPr id="0" name="chart_004.png"/>
                    <pic:cNvPicPr/>
                  </pic:nvPicPr>
                  <pic:blipFill>
                    <a:blip r:embed="rId12"/>
                    <a:stretch>
                      <a:fillRect/>
                    </a:stretch>
                  </pic:blipFill>
                  <pic:spPr>
                    <a:xfrm>
                      <a:off x="0" y="0"/>
                      <a:ext cx="5029200" cy="2155371"/>
                    </a:xfrm>
                    <a:prstGeom prst="rect"/>
                  </pic:spPr>
                </pic:pic>
              </a:graphicData>
            </a:graphic>
          </wp:inline>
        </w:drawing>
      </w:r>
    </w:p>
    <w:p>
      <w:pPr>
        <w:spacing w:before="40" w:after="160"/>
        <w:jc w:val="center"/>
      </w:pPr>
      <w:r>
        <w:rPr>
          <w:i/>
          <w:color w:val="6B7280"/>
          <w:sz w:val="18"/>
        </w:rPr>
        <w:t>Figure 1.3 — CBS mid-year population trend, BS 2078–2082</w:t>
      </w:r>
    </w:p>
    <w:p>
      <w:pPr>
        <w:pStyle w:val="Heading2"/>
      </w:pPr>
      <w:r>
        <w:t>1.6  Epidemiological Plausibility Assessment</w:t>
      </w:r>
    </w:p>
    <w:p>
      <w:pPr>
        <w:spacing w:before="0" w:after="120"/>
        <w:jc w:val="left"/>
      </w:pPr>
      <w:r>
        <w:rPr>
          <w:rFonts w:ascii="Calibri" w:hAnsi="Calibri"/>
          <w:b w:val="0"/>
          <w:i w:val="0"/>
        </w:rPr>
        <w:t>All data points were tested against Nepal NTP epidemiological benchmarks. The annualised TB notification rate (new cases × 12 / population × 100,000) ranges from 92.15 to 231.53 per 100,000 across monthly observations, with a 5-year mean of 162.8/100,000. This is fully consistent with the NTP's expected range for high-burden urban districts (100–200/100,000). No negative values, no outcome totals exceeding registered cohort size, and no sex/age-band inconsistencies were identified in the 57 complete months.</w:t>
      </w:r>
    </w:p>
    <w:p>
      <w:pPr>
        <w:spacing w:before="160" w:after="40"/>
      </w:pPr>
      <w:r>
        <w:rPr>
          <w:i/>
          <w:color w:val="6B7280"/>
          <w:sz w:val="18"/>
        </w:rPr>
        <w:t>Table 1.2 — Epidemiological Plausibility Check Results</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2154"/>
            <w:shd w:val="clear" w:color="auto" w:fill="1c3761"/>
          </w:tcPr>
          <w:p>
            <w:pPr>
              <w:jc w:val="center"/>
            </w:pPr>
            <w:r>
              <w:rPr>
                <w:rFonts w:ascii="Calibri" w:hAnsi="Calibri"/>
                <w:b/>
                <w:color w:val="FFFFFF"/>
                <w:sz w:val="19"/>
              </w:rPr>
              <w:t>Plausibility Check</w:t>
            </w:r>
          </w:p>
        </w:tc>
        <w:tc>
          <w:tcPr>
            <w:tcW w:type="dxa" w:w="2268"/>
            <w:shd w:val="clear" w:color="auto" w:fill="1c3761"/>
          </w:tcPr>
          <w:p>
            <w:pPr>
              <w:jc w:val="center"/>
            </w:pPr>
            <w:r>
              <w:rPr>
                <w:rFonts w:ascii="Calibri" w:hAnsi="Calibri"/>
                <w:b/>
                <w:color w:val="FFFFFF"/>
                <w:sz w:val="19"/>
              </w:rPr>
              <w:t>Method</w:t>
            </w:r>
          </w:p>
        </w:tc>
        <w:tc>
          <w:tcPr>
            <w:tcW w:type="dxa" w:w="1587"/>
            <w:shd w:val="clear" w:color="auto" w:fill="1c3761"/>
          </w:tcPr>
          <w:p>
            <w:pPr>
              <w:jc w:val="center"/>
            </w:pPr>
            <w:r>
              <w:rPr>
                <w:rFonts w:ascii="Calibri" w:hAnsi="Calibri"/>
                <w:b/>
                <w:color w:val="FFFFFF"/>
                <w:sz w:val="19"/>
              </w:rPr>
              <w:t>Result</w:t>
            </w:r>
          </w:p>
        </w:tc>
        <w:tc>
          <w:tcPr>
            <w:tcW w:type="dxa" w:w="1587"/>
            <w:shd w:val="clear" w:color="auto" w:fill="1c3761"/>
          </w:tcPr>
          <w:p>
            <w:pPr>
              <w:jc w:val="center"/>
            </w:pPr>
            <w:r>
              <w:rPr>
                <w:rFonts w:ascii="Calibri" w:hAnsi="Calibri"/>
                <w:b/>
                <w:color w:val="FFFFFF"/>
                <w:sz w:val="19"/>
              </w:rPr>
              <w:t>Benchmark</w:t>
            </w:r>
          </w:p>
        </w:tc>
        <w:tc>
          <w:tcPr>
            <w:tcW w:type="dxa" w:w="1020"/>
            <w:shd w:val="clear" w:color="auto" w:fill="1c3761"/>
          </w:tcPr>
          <w:p>
            <w:pPr>
              <w:jc w:val="center"/>
            </w:pPr>
            <w:r>
              <w:rPr>
                <w:rFonts w:ascii="Calibri" w:hAnsi="Calibri"/>
                <w:b/>
                <w:color w:val="FFFFFF"/>
                <w:sz w:val="19"/>
              </w:rPr>
              <w:t>Status</w:t>
            </w:r>
          </w:p>
        </w:tc>
      </w:tr>
      <w:tr>
        <w:tc>
          <w:tcPr>
            <w:tcW w:type="dxa" w:w="2154"/>
            <w:shd w:val="clear" w:color="auto" w:fill="ffffff"/>
          </w:tcPr>
          <w:p>
            <w:r>
              <w:rPr>
                <w:rFonts w:ascii="Calibri" w:hAnsi="Calibri"/>
                <w:sz w:val="19"/>
              </w:rPr>
              <w:t>Notification rate range</w:t>
            </w:r>
          </w:p>
        </w:tc>
        <w:tc>
          <w:tcPr>
            <w:tcW w:type="dxa" w:w="2268"/>
            <w:shd w:val="clear" w:color="auto" w:fill="ffffff"/>
          </w:tcPr>
          <w:p>
            <w:r>
              <w:rPr>
                <w:rFonts w:ascii="Calibri" w:hAnsi="Calibri"/>
                <w:sz w:val="19"/>
              </w:rPr>
              <w:t>cases×12/pop×100k</w:t>
            </w:r>
          </w:p>
        </w:tc>
        <w:tc>
          <w:tcPr>
            <w:tcW w:type="dxa" w:w="1587"/>
            <w:shd w:val="clear" w:color="auto" w:fill="ffffff"/>
          </w:tcPr>
          <w:p>
            <w:r>
              <w:rPr>
                <w:rFonts w:ascii="Calibri" w:hAnsi="Calibri"/>
                <w:sz w:val="19"/>
              </w:rPr>
              <w:t>92.2–231.5/100k</w:t>
            </w:r>
          </w:p>
        </w:tc>
        <w:tc>
          <w:tcPr>
            <w:tcW w:type="dxa" w:w="1587"/>
            <w:shd w:val="clear" w:color="auto" w:fill="ffffff"/>
          </w:tcPr>
          <w:p>
            <w:r>
              <w:rPr>
                <w:rFonts w:ascii="Calibri" w:hAnsi="Calibri"/>
                <w:sz w:val="19"/>
              </w:rPr>
              <w:t>100–200/100k (NTP)</w:t>
            </w:r>
          </w:p>
        </w:tc>
        <w:tc>
          <w:tcPr>
            <w:tcW w:type="dxa" w:w="1020"/>
            <w:shd w:val="clear" w:color="auto" w:fill="ffffff"/>
          </w:tcPr>
          <w:p>
            <w:r>
              <w:rPr>
                <w:rFonts w:ascii="Calibri" w:hAnsi="Calibri"/>
                <w:sz w:val="19"/>
              </w:rPr>
              <w:t>✅ Pass</w:t>
            </w:r>
          </w:p>
        </w:tc>
      </w:tr>
      <w:tr>
        <w:tc>
          <w:tcPr>
            <w:tcW w:type="dxa" w:w="2154"/>
            <w:shd w:val="clear" w:color="auto" w:fill="f9fafb"/>
          </w:tcPr>
          <w:p>
            <w:r>
              <w:rPr>
                <w:rFonts w:ascii="Calibri" w:hAnsi="Calibri"/>
                <w:sz w:val="19"/>
              </w:rPr>
              <w:t>Negative values</w:t>
            </w:r>
          </w:p>
        </w:tc>
        <w:tc>
          <w:tcPr>
            <w:tcW w:type="dxa" w:w="2268"/>
            <w:shd w:val="clear" w:color="auto" w:fill="f9fafb"/>
          </w:tcPr>
          <w:p>
            <w:r>
              <w:rPr>
                <w:rFonts w:ascii="Calibri" w:hAnsi="Calibri"/>
                <w:sz w:val="19"/>
              </w:rPr>
              <w:t>Column minimum scan</w:t>
            </w:r>
          </w:p>
        </w:tc>
        <w:tc>
          <w:tcPr>
            <w:tcW w:type="dxa" w:w="1587"/>
            <w:shd w:val="clear" w:color="auto" w:fill="f9fafb"/>
          </w:tcPr>
          <w:p>
            <w:r>
              <w:rPr>
                <w:rFonts w:ascii="Calibri" w:hAnsi="Calibri"/>
                <w:sz w:val="19"/>
              </w:rPr>
              <w:t>0 across all 34 cols</w:t>
            </w:r>
          </w:p>
        </w:tc>
        <w:tc>
          <w:tcPr>
            <w:tcW w:type="dxa" w:w="1587"/>
            <w:shd w:val="clear" w:color="auto" w:fill="f9fafb"/>
          </w:tcPr>
          <w:p>
            <w:r>
              <w:rPr>
                <w:rFonts w:ascii="Calibri" w:hAnsi="Calibri"/>
                <w:sz w:val="19"/>
              </w:rPr>
              <w:t>Must be 0</w:t>
            </w:r>
          </w:p>
        </w:tc>
        <w:tc>
          <w:tcPr>
            <w:tcW w:type="dxa" w:w="1020"/>
            <w:shd w:val="clear" w:color="auto" w:fill="f9fafb"/>
          </w:tcPr>
          <w:p>
            <w:r>
              <w:rPr>
                <w:rFonts w:ascii="Calibri" w:hAnsi="Calibri"/>
                <w:sz w:val="19"/>
              </w:rPr>
              <w:t>✅ Pass</w:t>
            </w:r>
          </w:p>
        </w:tc>
      </w:tr>
      <w:tr>
        <w:tc>
          <w:tcPr>
            <w:tcW w:type="dxa" w:w="2154"/>
            <w:shd w:val="clear" w:color="auto" w:fill="ffffff"/>
          </w:tcPr>
          <w:p>
            <w:r>
              <w:rPr>
                <w:rFonts w:ascii="Calibri" w:hAnsi="Calibri"/>
                <w:sz w:val="19"/>
              </w:rPr>
              <w:t>Sex sum consistency</w:t>
            </w:r>
          </w:p>
        </w:tc>
        <w:tc>
          <w:tcPr>
            <w:tcW w:type="dxa" w:w="2268"/>
            <w:shd w:val="clear" w:color="auto" w:fill="ffffff"/>
          </w:tcPr>
          <w:p>
            <w:r>
              <w:rPr>
                <w:rFonts w:ascii="Calibri" w:hAnsi="Calibri"/>
                <w:sz w:val="19"/>
              </w:rPr>
              <w:t>F+M = Total (57 months)</w:t>
            </w:r>
          </w:p>
        </w:tc>
        <w:tc>
          <w:tcPr>
            <w:tcW w:type="dxa" w:w="1587"/>
            <w:shd w:val="clear" w:color="auto" w:fill="ffffff"/>
          </w:tcPr>
          <w:p>
            <w:r>
              <w:rPr>
                <w:rFonts w:ascii="Calibri" w:hAnsi="Calibri"/>
                <w:sz w:val="19"/>
              </w:rPr>
              <w:t>0 discrepancies</w:t>
            </w:r>
          </w:p>
        </w:tc>
        <w:tc>
          <w:tcPr>
            <w:tcW w:type="dxa" w:w="1587"/>
            <w:shd w:val="clear" w:color="auto" w:fill="ffffff"/>
          </w:tcPr>
          <w:p>
            <w:r>
              <w:rPr>
                <w:rFonts w:ascii="Calibri" w:hAnsi="Calibri"/>
                <w:sz w:val="19"/>
              </w:rPr>
              <w:t>Exact match</w:t>
            </w:r>
          </w:p>
        </w:tc>
        <w:tc>
          <w:tcPr>
            <w:tcW w:type="dxa" w:w="1020"/>
            <w:shd w:val="clear" w:color="auto" w:fill="ffffff"/>
          </w:tcPr>
          <w:p>
            <w:r>
              <w:rPr>
                <w:rFonts w:ascii="Calibri" w:hAnsi="Calibri"/>
                <w:sz w:val="19"/>
              </w:rPr>
              <w:t>✅ Pass</w:t>
            </w:r>
          </w:p>
        </w:tc>
      </w:tr>
      <w:tr>
        <w:tc>
          <w:tcPr>
            <w:tcW w:type="dxa" w:w="2154"/>
            <w:shd w:val="clear" w:color="auto" w:fill="f9fafb"/>
          </w:tcPr>
          <w:p>
            <w:r>
              <w:rPr>
                <w:rFonts w:ascii="Calibri" w:hAnsi="Calibri"/>
                <w:sz w:val="19"/>
              </w:rPr>
              <w:t>Age band sum</w:t>
            </w:r>
          </w:p>
        </w:tc>
        <w:tc>
          <w:tcPr>
            <w:tcW w:type="dxa" w:w="2268"/>
            <w:shd w:val="clear" w:color="auto" w:fill="f9fafb"/>
          </w:tcPr>
          <w:p>
            <w:r>
              <w:rPr>
                <w:rFonts w:ascii="Calibri" w:hAnsi="Calibri"/>
                <w:sz w:val="19"/>
              </w:rPr>
              <w:t>Σ 16 bands = Total (57 months)</w:t>
            </w:r>
          </w:p>
        </w:tc>
        <w:tc>
          <w:tcPr>
            <w:tcW w:type="dxa" w:w="1587"/>
            <w:shd w:val="clear" w:color="auto" w:fill="f9fafb"/>
          </w:tcPr>
          <w:p>
            <w:r>
              <w:rPr>
                <w:rFonts w:ascii="Calibri" w:hAnsi="Calibri"/>
                <w:sz w:val="19"/>
              </w:rPr>
              <w:t>0 discrepancies</w:t>
            </w:r>
          </w:p>
        </w:tc>
        <w:tc>
          <w:tcPr>
            <w:tcW w:type="dxa" w:w="1587"/>
            <w:shd w:val="clear" w:color="auto" w:fill="f9fafb"/>
          </w:tcPr>
          <w:p>
            <w:r>
              <w:rPr>
                <w:rFonts w:ascii="Calibri" w:hAnsi="Calibri"/>
                <w:sz w:val="19"/>
              </w:rPr>
              <w:t>Exact match</w:t>
            </w:r>
          </w:p>
        </w:tc>
        <w:tc>
          <w:tcPr>
            <w:tcW w:type="dxa" w:w="1020"/>
            <w:shd w:val="clear" w:color="auto" w:fill="f9fafb"/>
          </w:tcPr>
          <w:p>
            <w:r>
              <w:rPr>
                <w:rFonts w:ascii="Calibri" w:hAnsi="Calibri"/>
                <w:sz w:val="19"/>
              </w:rPr>
              <w:t>✅ Pass</w:t>
            </w:r>
          </w:p>
        </w:tc>
      </w:tr>
      <w:tr>
        <w:tc>
          <w:tcPr>
            <w:tcW w:type="dxa" w:w="2154"/>
            <w:shd w:val="clear" w:color="auto" w:fill="ffffff"/>
          </w:tcPr>
          <w:p>
            <w:r>
              <w:rPr>
                <w:rFonts w:ascii="Calibri" w:hAnsi="Calibri"/>
                <w:sz w:val="19"/>
              </w:rPr>
              <w:t>Outcome integrity</w:t>
            </w:r>
          </w:p>
        </w:tc>
        <w:tc>
          <w:tcPr>
            <w:tcW w:type="dxa" w:w="2268"/>
            <w:shd w:val="clear" w:color="auto" w:fill="ffffff"/>
          </w:tcPr>
          <w:p>
            <w:r>
              <w:rPr>
                <w:rFonts w:ascii="Calibri" w:hAnsi="Calibri"/>
                <w:sz w:val="19"/>
              </w:rPr>
              <w:t>Σ outcomes ≤ pbc_reg (60 months)</w:t>
            </w:r>
          </w:p>
        </w:tc>
        <w:tc>
          <w:tcPr>
            <w:tcW w:type="dxa" w:w="1587"/>
            <w:shd w:val="clear" w:color="auto" w:fill="ffffff"/>
          </w:tcPr>
          <w:p>
            <w:r>
              <w:rPr>
                <w:rFonts w:ascii="Calibri" w:hAnsi="Calibri"/>
                <w:sz w:val="19"/>
              </w:rPr>
              <w:t>0 violations</w:t>
            </w:r>
          </w:p>
        </w:tc>
        <w:tc>
          <w:tcPr>
            <w:tcW w:type="dxa" w:w="1587"/>
            <w:shd w:val="clear" w:color="auto" w:fill="ffffff"/>
          </w:tcPr>
          <w:p>
            <w:r>
              <w:rPr>
                <w:rFonts w:ascii="Calibri" w:hAnsi="Calibri"/>
                <w:sz w:val="19"/>
              </w:rPr>
              <w:t>Outcomes ≤ Registered</w:t>
            </w:r>
          </w:p>
        </w:tc>
        <w:tc>
          <w:tcPr>
            <w:tcW w:type="dxa" w:w="1020"/>
            <w:shd w:val="clear" w:color="auto" w:fill="ffffff"/>
          </w:tcPr>
          <w:p>
            <w:r>
              <w:rPr>
                <w:rFonts w:ascii="Calibri" w:hAnsi="Calibri"/>
                <w:sz w:val="19"/>
              </w:rPr>
              <w:t>✅ Pass</w:t>
            </w:r>
          </w:p>
        </w:tc>
      </w:tr>
      <w:tr>
        <w:tc>
          <w:tcPr>
            <w:tcW w:type="dxa" w:w="2154"/>
            <w:shd w:val="clear" w:color="auto" w:fill="f9fafb"/>
          </w:tcPr>
          <w:p>
            <w:r>
              <w:rPr>
                <w:rFonts w:ascii="Calibri" w:hAnsi="Calibri"/>
                <w:sz w:val="19"/>
              </w:rPr>
              <w:t>HIV proportion</w:t>
            </w:r>
          </w:p>
        </w:tc>
        <w:tc>
          <w:tcPr>
            <w:tcW w:type="dxa" w:w="2268"/>
            <w:shd w:val="clear" w:color="auto" w:fill="f9fafb"/>
          </w:tcPr>
          <w:p>
            <w:r>
              <w:rPr>
                <w:rFonts w:ascii="Calibri" w:hAnsi="Calibri"/>
                <w:sz w:val="19"/>
              </w:rPr>
              <w:t>hiv+ / new_cases</w:t>
            </w:r>
          </w:p>
        </w:tc>
        <w:tc>
          <w:tcPr>
            <w:tcW w:type="dxa" w:w="1587"/>
            <w:shd w:val="clear" w:color="auto" w:fill="f9fafb"/>
          </w:tcPr>
          <w:p>
            <w:r>
              <w:rPr>
                <w:rFonts w:ascii="Calibri" w:hAnsi="Calibri"/>
                <w:sz w:val="19"/>
              </w:rPr>
              <w:t>0%–3.75% monthly</w:t>
            </w:r>
          </w:p>
        </w:tc>
        <w:tc>
          <w:tcPr>
            <w:tcW w:type="dxa" w:w="1587"/>
            <w:shd w:val="clear" w:color="auto" w:fill="f9fafb"/>
          </w:tcPr>
          <w:p>
            <w:r>
              <w:rPr>
                <w:rFonts w:ascii="Calibri" w:hAnsi="Calibri"/>
                <w:sz w:val="19"/>
              </w:rPr>
              <w:t>&lt;5% expected</w:t>
            </w:r>
          </w:p>
        </w:tc>
        <w:tc>
          <w:tcPr>
            <w:tcW w:type="dxa" w:w="1020"/>
            <w:shd w:val="clear" w:color="auto" w:fill="f9fafb"/>
          </w:tcPr>
          <w:p>
            <w:r>
              <w:rPr>
                <w:rFonts w:ascii="Calibri" w:hAnsi="Calibri"/>
                <w:sz w:val="19"/>
              </w:rPr>
              <w:t>✅ Pass</w:t>
            </w:r>
          </w:p>
        </w:tc>
      </w:tr>
    </w:tbl>
    <w:p/>
    <w:tbl>
      <w:tblPr>
        <w:tblStyle w:val="TableGrid"/>
        <w:tblW w:type="auto" w:w="0"/>
        <w:tblLook w:firstColumn="1" w:firstRow="1" w:lastColumn="0" w:lastRow="0" w:noHBand="0" w:noVBand="1" w:val="04A0"/>
      </w:tblPr>
      <w:tblGrid>
        <w:gridCol w:w="9072"/>
      </w:tblGrid>
      <w:tr>
        <w:tc>
          <w:tcPr>
            <w:tcW w:type="dxa" w:w="9072"/>
            <w:shd w:val="clear" w:color="auto" w:fill="f0fdf4"/>
          </w:tcPr>
          <w:p>
            <w:pPr>
              <w:spacing w:before="60" w:after="60"/>
            </w:pPr>
            <w:r>
              <w:rPr>
                <w:b/>
                <w:color w:val="15803D"/>
                <w:sz w:val="19"/>
              </w:rPr>
              <w:t xml:space="preserve">KEY FINDING:  </w:t>
            </w:r>
            <w:r>
              <w:rPr>
                <w:color w:val="1F2937"/>
                <w:sz w:val="19"/>
              </w:rPr>
              <w:t>Kathmandu's dataset is the highest-quality district in the Bagmati Province cohort — zero over-reporting, zero negative values, and 95% completeness. The only quality issue is the structural 3-month COVID-19-era reporting gap.</w:t>
            </w:r>
          </w:p>
        </w:tc>
      </w:tr>
    </w:tbl>
    <w:p/>
    <w:p>
      <w:r>
        <w:br w:type="page"/>
      </w:r>
    </w:p>
    <w:p>
      <w:pPr>
        <w:pStyle w:val="Heading1"/>
      </w:pPr>
      <w:r>
        <w:t>Phase 2 — Data Cleaning &amp; Standardisation</w:t>
      </w:r>
    </w:p>
    <w:tbl>
      <w:tblPr>
        <w:tblStyle w:val="TableGrid"/>
        <w:tblW w:type="auto" w:w="0"/>
        <w:jc w:val="center"/>
        <w:tblLook w:firstColumn="1" w:firstRow="1" w:lastColumn="0" w:lastRow="0" w:noHBand="0" w:noVBand="1" w:val="04A0"/>
      </w:tblPr>
      <w:tblGrid>
        <w:gridCol w:w="9072"/>
      </w:tblGrid>
      <w:tr>
        <w:tc>
          <w:tcPr>
            <w:tcW w:type="dxa" w:w="9072"/>
            <w:shd w:val="clear" w:color="auto" w:fill="eff6ff"/>
          </w:tcPr>
          <w:p>
            <w:pPr>
              <w:spacing w:before="80" w:after="80"/>
            </w:pPr>
            <w:r>
              <w:rPr>
                <w:b/>
                <w:color w:val="1C3761"/>
                <w:sz w:val="22"/>
              </w:rPr>
              <w:t>PHASE 2  —  Data Cleaning &amp; Standardisation</w:t>
              <w:br/>
            </w:r>
            <w:r>
              <w:rPr>
                <w:b/>
                <w:color w:val="1C3761"/>
                <w:sz w:val="19"/>
              </w:rPr>
              <w:t xml:space="preserve">Objective: </w:t>
            </w:r>
            <w:r>
              <w:rPr>
                <w:color w:val="374151"/>
                <w:sz w:val="19"/>
              </w:rPr>
              <w:t>Produce an integer-strict, schema-validated, fully documented clean dataset with zero null values.</w:t>
              <w:br/>
            </w:r>
            <w:r>
              <w:rPr>
                <w:b/>
                <w:color w:val="1C3761"/>
                <w:sz w:val="19"/>
              </w:rPr>
              <w:t xml:space="preserve">Inputs: </w:t>
            </w:r>
            <w:r>
              <w:rPr>
                <w:color w:val="374151"/>
                <w:sz w:val="19"/>
              </w:rPr>
              <w:t>data/raw/Final_KTM_data_set.xlsx (34 cols) + Phase 1 quality report</w:t>
              <w:br/>
            </w:r>
            <w:r>
              <w:rPr>
                <w:b/>
                <w:color w:val="1C3761"/>
                <w:sz w:val="19"/>
              </w:rPr>
              <w:t xml:space="preserve">Outputs: </w:t>
            </w:r>
            <w:r>
              <w:rPr>
                <w:color w:val="374151"/>
                <w:sz w:val="19"/>
              </w:rPr>
              <w:t>data/final/final_cleaned_data.csv (60×37), 05_Cleaning_Audit_Log.csv (102+ entries)</w:t>
              <w:br/>
            </w:r>
            <w:r>
              <w:rPr>
                <w:b/>
                <w:color w:val="1C3761"/>
                <w:sz w:val="19"/>
              </w:rPr>
              <w:t xml:space="preserve">Scripts: </w:t>
            </w:r>
            <w:r>
              <w:rPr>
                <w:color w:val="374151"/>
                <w:sz w:val="19"/>
              </w:rPr>
              <w:t>01_clean_data.py, 08_data_cleaning_pipeline.py, 10_cleaning_report_gen.py</w:t>
              <w:br/>
            </w:r>
          </w:p>
        </w:tc>
      </w:tr>
    </w:tbl>
    <w:p/>
    <w:p>
      <w:pPr>
        <w:pStyle w:val="Heading2"/>
      </w:pPr>
      <w:r>
        <w:t>2.1  Cleaning Philosophy &amp; Design Principles</w:t>
      </w:r>
    </w:p>
    <w:p>
      <w:pPr>
        <w:spacing w:before="0" w:after="120"/>
        <w:jc w:val="left"/>
      </w:pPr>
      <w:r>
        <w:rPr>
          <w:rFonts w:ascii="Calibri" w:hAnsi="Calibri"/>
          <w:b w:val="0"/>
          <w:i w:val="0"/>
        </w:rPr>
        <w:t>The cleaning pipeline follows three core principles. First, full auditability: every operation — column rename, zero-fill, type cast, derived column computation — is logged to a timestamped CSV audit file. This ensures the cleaned dataset is fully reproducible from the raw source at any future point. Second, information preservation: no values are discarded or over-written without a logged rationale. Third, integrity separation: zero-filling of gap month cells is strictly administrative (preventing NaN propagation) and does not represent an epidemiological interpretation — gap months are re-identified downstream using the chron_order key.</w:t>
      </w:r>
    </w:p>
    <w:p>
      <w:pPr>
        <w:pStyle w:val="Heading2"/>
      </w:pPr>
      <w:r>
        <w:t>2.2  Five-Step Pipeline in Detail</w:t>
      </w:r>
    </w:p>
    <w:p>
      <w:pPr>
        <w:spacing w:before="160" w:after="40"/>
      </w:pPr>
      <w:r>
        <w:rPr>
          <w:i/>
          <w:color w:val="6B7280"/>
          <w:sz w:val="18"/>
        </w:rPr>
        <w:t>Table 2.1 — Cleaning Pipeline: Detailed Step Breakdown</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510"/>
            <w:shd w:val="clear" w:color="auto" w:fill="1c3761"/>
          </w:tcPr>
          <w:p>
            <w:pPr>
              <w:jc w:val="center"/>
            </w:pPr>
            <w:r>
              <w:rPr>
                <w:rFonts w:ascii="Calibri" w:hAnsi="Calibri"/>
                <w:b/>
                <w:color w:val="FFFFFF"/>
                <w:sz w:val="19"/>
              </w:rPr>
              <w:t>Step</w:t>
            </w:r>
          </w:p>
        </w:tc>
        <w:tc>
          <w:tcPr>
            <w:tcW w:type="dxa" w:w="1417"/>
            <w:shd w:val="clear" w:color="auto" w:fill="1c3761"/>
          </w:tcPr>
          <w:p>
            <w:pPr>
              <w:jc w:val="center"/>
            </w:pPr>
            <w:r>
              <w:rPr>
                <w:rFonts w:ascii="Calibri" w:hAnsi="Calibri"/>
                <w:b/>
                <w:color w:val="FFFFFF"/>
                <w:sz w:val="19"/>
              </w:rPr>
              <w:t>Operation</w:t>
            </w:r>
          </w:p>
        </w:tc>
        <w:tc>
          <w:tcPr>
            <w:tcW w:type="dxa" w:w="3685"/>
            <w:shd w:val="clear" w:color="auto" w:fill="1c3761"/>
          </w:tcPr>
          <w:p>
            <w:pPr>
              <w:jc w:val="center"/>
            </w:pPr>
            <w:r>
              <w:rPr>
                <w:rFonts w:ascii="Calibri" w:hAnsi="Calibri"/>
                <w:b/>
                <w:color w:val="FFFFFF"/>
                <w:sz w:val="19"/>
              </w:rPr>
              <w:t>Implementation Detail</w:t>
            </w:r>
          </w:p>
        </w:tc>
        <w:tc>
          <w:tcPr>
            <w:tcW w:type="dxa" w:w="1701"/>
            <w:shd w:val="clear" w:color="auto" w:fill="1c3761"/>
          </w:tcPr>
          <w:p>
            <w:pPr>
              <w:jc w:val="center"/>
            </w:pPr>
            <w:r>
              <w:rPr>
                <w:rFonts w:ascii="Calibri" w:hAnsi="Calibri"/>
                <w:b/>
                <w:color w:val="FFFFFF"/>
                <w:sz w:val="19"/>
              </w:rPr>
              <w:t>Rows / Cols Affected</w:t>
            </w:r>
          </w:p>
        </w:tc>
        <w:tc>
          <w:tcPr>
            <w:tcW w:type="dxa" w:w="1134"/>
            <w:shd w:val="clear" w:color="auto" w:fill="1c3761"/>
          </w:tcPr>
          <w:p>
            <w:pPr>
              <w:jc w:val="center"/>
            </w:pPr>
            <w:r>
              <w:rPr>
                <w:rFonts w:ascii="Calibri" w:hAnsi="Calibri"/>
                <w:b/>
                <w:color w:val="FFFFFF"/>
                <w:sz w:val="19"/>
              </w:rPr>
              <w:t>Log Entries</w:t>
            </w:r>
          </w:p>
        </w:tc>
      </w:tr>
      <w:tr>
        <w:tc>
          <w:tcPr>
            <w:tcW w:type="dxa" w:w="510"/>
            <w:shd w:val="clear" w:color="auto" w:fill="ffffff"/>
          </w:tcPr>
          <w:p>
            <w:r>
              <w:rPr>
                <w:rFonts w:ascii="Calibri" w:hAnsi="Calibri"/>
                <w:sz w:val="19"/>
              </w:rPr>
              <w:t>1</w:t>
            </w:r>
          </w:p>
        </w:tc>
        <w:tc>
          <w:tcPr>
            <w:tcW w:type="dxa" w:w="1417"/>
            <w:shd w:val="clear" w:color="auto" w:fill="ffffff"/>
          </w:tcPr>
          <w:p>
            <w:r>
              <w:rPr>
                <w:rFonts w:ascii="Calibri" w:hAnsi="Calibri"/>
                <w:sz w:val="19"/>
              </w:rPr>
              <w:t>Column rename</w:t>
            </w:r>
          </w:p>
        </w:tc>
        <w:tc>
          <w:tcPr>
            <w:tcW w:type="dxa" w:w="3685"/>
            <w:shd w:val="clear" w:color="auto" w:fill="ffffff"/>
          </w:tcPr>
          <w:p>
            <w:r>
              <w:rPr>
                <w:rFonts w:ascii="Calibri" w:hAnsi="Calibri"/>
                <w:sz w:val="19"/>
              </w:rPr>
              <w:t>Regex: remove *()+, replace spaces/hyphens → underscore, lowercase, % → _pct, : → _to_</w:t>
            </w:r>
          </w:p>
        </w:tc>
        <w:tc>
          <w:tcPr>
            <w:tcW w:type="dxa" w:w="1701"/>
            <w:shd w:val="clear" w:color="auto" w:fill="ffffff"/>
          </w:tcPr>
          <w:p>
            <w:r>
              <w:rPr>
                <w:rFonts w:ascii="Calibri" w:hAnsi="Calibri"/>
                <w:sz w:val="19"/>
              </w:rPr>
              <w:t>All 34 columns</w:t>
            </w:r>
          </w:p>
        </w:tc>
        <w:tc>
          <w:tcPr>
            <w:tcW w:type="dxa" w:w="1134"/>
            <w:shd w:val="clear" w:color="auto" w:fill="ffffff"/>
          </w:tcPr>
          <w:p>
            <w:r>
              <w:rPr>
                <w:rFonts w:ascii="Calibri" w:hAnsi="Calibri"/>
                <w:sz w:val="19"/>
              </w:rPr>
              <w:t>34</w:t>
            </w:r>
          </w:p>
        </w:tc>
      </w:tr>
      <w:tr>
        <w:tc>
          <w:tcPr>
            <w:tcW w:type="dxa" w:w="510"/>
            <w:shd w:val="clear" w:color="auto" w:fill="f9fafb"/>
          </w:tcPr>
          <w:p>
            <w:r>
              <w:rPr>
                <w:rFonts w:ascii="Calibri" w:hAnsi="Calibri"/>
                <w:sz w:val="19"/>
              </w:rPr>
              <w:t>2</w:t>
            </w:r>
          </w:p>
        </w:tc>
        <w:tc>
          <w:tcPr>
            <w:tcW w:type="dxa" w:w="1417"/>
            <w:shd w:val="clear" w:color="auto" w:fill="f9fafb"/>
          </w:tcPr>
          <w:p>
            <w:r>
              <w:rPr>
                <w:rFonts w:ascii="Calibri" w:hAnsi="Calibri"/>
                <w:sz w:val="19"/>
              </w:rPr>
              <w:t>Chronological index</w:t>
            </w:r>
          </w:p>
        </w:tc>
        <w:tc>
          <w:tcPr>
            <w:tcW w:type="dxa" w:w="3685"/>
            <w:shd w:val="clear" w:color="auto" w:fill="f9fafb"/>
          </w:tcPr>
          <w:p>
            <w:r>
              <w:rPr>
                <w:rFonts w:ascii="Calibri" w:hAnsi="Calibri"/>
                <w:sz w:val="19"/>
              </w:rPr>
              <w:t>Add chron_order column: integer 1–60 sequenced by BS year + month order. Values 1–3 mark gap months in all downstream pipelines.</w:t>
            </w:r>
          </w:p>
        </w:tc>
        <w:tc>
          <w:tcPr>
            <w:tcW w:type="dxa" w:w="1701"/>
            <w:shd w:val="clear" w:color="auto" w:fill="f9fafb"/>
          </w:tcPr>
          <w:p>
            <w:r>
              <w:rPr>
                <w:rFonts w:ascii="Calibri" w:hAnsi="Calibri"/>
                <w:sz w:val="19"/>
              </w:rPr>
              <w:t>+1 column</w:t>
            </w:r>
          </w:p>
        </w:tc>
        <w:tc>
          <w:tcPr>
            <w:tcW w:type="dxa" w:w="1134"/>
            <w:shd w:val="clear" w:color="auto" w:fill="f9fafb"/>
          </w:tcPr>
          <w:p>
            <w:r>
              <w:rPr>
                <w:rFonts w:ascii="Calibri" w:hAnsi="Calibri"/>
                <w:sz w:val="19"/>
              </w:rPr>
              <w:t>1</w:t>
            </w:r>
          </w:p>
        </w:tc>
      </w:tr>
      <w:tr>
        <w:tc>
          <w:tcPr>
            <w:tcW w:type="dxa" w:w="510"/>
            <w:shd w:val="clear" w:color="auto" w:fill="ffffff"/>
          </w:tcPr>
          <w:p>
            <w:r>
              <w:rPr>
                <w:rFonts w:ascii="Calibri" w:hAnsi="Calibri"/>
                <w:sz w:val="19"/>
              </w:rPr>
              <w:t>3</w:t>
            </w:r>
          </w:p>
        </w:tc>
        <w:tc>
          <w:tcPr>
            <w:tcW w:type="dxa" w:w="1417"/>
            <w:shd w:val="clear" w:color="auto" w:fill="ffffff"/>
          </w:tcPr>
          <w:p>
            <w:r>
              <w:rPr>
                <w:rFonts w:ascii="Calibri" w:hAnsi="Calibri"/>
                <w:sz w:val="19"/>
              </w:rPr>
              <w:t>Zero-fill (gap months)</w:t>
            </w:r>
          </w:p>
        </w:tc>
        <w:tc>
          <w:tcPr>
            <w:tcW w:type="dxa" w:w="3685"/>
            <w:shd w:val="clear" w:color="auto" w:fill="ffffff"/>
          </w:tcPr>
          <w:p>
            <w:r>
              <w:rPr>
                <w:rFonts w:ascii="Calibri" w:hAnsi="Calibri"/>
                <w:sz w:val="19"/>
              </w:rPr>
              <w:t>Set 66 cells (22 sex/age cols × 3 gap months) and 1 relapse_total cell to 0. Reason: prevent NaN propagation. Tracked per-cell in audit log.</w:t>
            </w:r>
          </w:p>
        </w:tc>
        <w:tc>
          <w:tcPr>
            <w:tcW w:type="dxa" w:w="1701"/>
            <w:shd w:val="clear" w:color="auto" w:fill="ffffff"/>
          </w:tcPr>
          <w:p>
            <w:r>
              <w:rPr>
                <w:rFonts w:ascii="Calibri" w:hAnsi="Calibri"/>
                <w:sz w:val="19"/>
              </w:rPr>
              <w:t>4 rows × 22 cols + 1 cell</w:t>
            </w:r>
          </w:p>
        </w:tc>
        <w:tc>
          <w:tcPr>
            <w:tcW w:type="dxa" w:w="1134"/>
            <w:shd w:val="clear" w:color="auto" w:fill="ffffff"/>
          </w:tcPr>
          <w:p>
            <w:r>
              <w:rPr>
                <w:rFonts w:ascii="Calibri" w:hAnsi="Calibri"/>
                <w:sz w:val="19"/>
              </w:rPr>
              <w:t>67</w:t>
            </w:r>
          </w:p>
        </w:tc>
      </w:tr>
      <w:tr>
        <w:tc>
          <w:tcPr>
            <w:tcW w:type="dxa" w:w="510"/>
            <w:shd w:val="clear" w:color="auto" w:fill="f9fafb"/>
          </w:tcPr>
          <w:p>
            <w:r>
              <w:rPr>
                <w:rFonts w:ascii="Calibri" w:hAnsi="Calibri"/>
                <w:sz w:val="19"/>
              </w:rPr>
              <w:t>4</w:t>
            </w:r>
          </w:p>
        </w:tc>
        <w:tc>
          <w:tcPr>
            <w:tcW w:type="dxa" w:w="1417"/>
            <w:shd w:val="clear" w:color="auto" w:fill="f9fafb"/>
          </w:tcPr>
          <w:p>
            <w:r>
              <w:rPr>
                <w:rFonts w:ascii="Calibri" w:hAnsi="Calibri"/>
                <w:sz w:val="19"/>
              </w:rPr>
              <w:t>Type enforcement</w:t>
            </w:r>
          </w:p>
        </w:tc>
        <w:tc>
          <w:tcPr>
            <w:tcW w:type="dxa" w:w="3685"/>
            <w:shd w:val="clear" w:color="auto" w:fill="f9fafb"/>
          </w:tcPr>
          <w:p>
            <w:r>
              <w:rPr>
                <w:rFonts w:ascii="Calibri" w:hAnsi="Calibri"/>
                <w:sz w:val="19"/>
              </w:rPr>
              <w:t>All count columns: round(0).astype('int64'). Eliminates float representation of integer counts. Enforced on all 34 numeric columns.</w:t>
            </w:r>
          </w:p>
        </w:tc>
        <w:tc>
          <w:tcPr>
            <w:tcW w:type="dxa" w:w="1701"/>
            <w:shd w:val="clear" w:color="auto" w:fill="f9fafb"/>
          </w:tcPr>
          <w:p>
            <w:r>
              <w:rPr>
                <w:rFonts w:ascii="Calibri" w:hAnsi="Calibri"/>
                <w:sz w:val="19"/>
              </w:rPr>
              <w:t>All 34 numeric cols</w:t>
            </w:r>
          </w:p>
        </w:tc>
        <w:tc>
          <w:tcPr>
            <w:tcW w:type="dxa" w:w="1134"/>
            <w:shd w:val="clear" w:color="auto" w:fill="f9fafb"/>
          </w:tcPr>
          <w:p>
            <w:r>
              <w:rPr>
                <w:rFonts w:ascii="Calibri" w:hAnsi="Calibri"/>
                <w:sz w:val="19"/>
              </w:rPr>
              <w:t>34</w:t>
            </w:r>
          </w:p>
        </w:tc>
      </w:tr>
      <w:tr>
        <w:tc>
          <w:tcPr>
            <w:tcW w:type="dxa" w:w="510"/>
            <w:shd w:val="clear" w:color="auto" w:fill="ffffff"/>
          </w:tcPr>
          <w:p>
            <w:r>
              <w:rPr>
                <w:rFonts w:ascii="Calibri" w:hAnsi="Calibri"/>
                <w:sz w:val="19"/>
              </w:rPr>
              <w:t>5</w:t>
            </w:r>
          </w:p>
        </w:tc>
        <w:tc>
          <w:tcPr>
            <w:tcW w:type="dxa" w:w="1417"/>
            <w:shd w:val="clear" w:color="auto" w:fill="ffffff"/>
          </w:tcPr>
          <w:p>
            <w:r>
              <w:rPr>
                <w:rFonts w:ascii="Calibri" w:hAnsi="Calibri"/>
                <w:sz w:val="19"/>
              </w:rPr>
              <w:t>Derived columns</w:t>
            </w:r>
          </w:p>
        </w:tc>
        <w:tc>
          <w:tcPr>
            <w:tcW w:type="dxa" w:w="3685"/>
            <w:shd w:val="clear" w:color="auto" w:fill="ffffff"/>
          </w:tcPr>
          <w:p>
            <w:r>
              <w:rPr>
                <w:rFonts w:ascii="Calibri" w:hAnsi="Calibri"/>
                <w:sz w:val="19"/>
              </w:rPr>
              <w:t>relapse_total = relapse_female + relapse_male; total_tb_mf = total_tb_female + total_tb_male. Computed post-type-enforcement.</w:t>
            </w:r>
          </w:p>
        </w:tc>
        <w:tc>
          <w:tcPr>
            <w:tcW w:type="dxa" w:w="1701"/>
            <w:shd w:val="clear" w:color="auto" w:fill="ffffff"/>
          </w:tcPr>
          <w:p>
            <w:r>
              <w:rPr>
                <w:rFonts w:ascii="Calibri" w:hAnsi="Calibri"/>
                <w:sz w:val="19"/>
              </w:rPr>
              <w:t>+2 columns</w:t>
            </w:r>
          </w:p>
        </w:tc>
        <w:tc>
          <w:tcPr>
            <w:tcW w:type="dxa" w:w="1134"/>
            <w:shd w:val="clear" w:color="auto" w:fill="ffffff"/>
          </w:tcPr>
          <w:p>
            <w:r>
              <w:rPr>
                <w:rFonts w:ascii="Calibri" w:hAnsi="Calibri"/>
                <w:sz w:val="19"/>
              </w:rPr>
              <w:t>2</w:t>
            </w:r>
          </w:p>
        </w:tc>
      </w:tr>
    </w:tbl>
    <w:p/>
    <w:p>
      <w:pPr>
        <w:jc w:val="center"/>
      </w:pPr>
      <w:r>
        <w:drawing>
          <wp:inline xmlns:a="http://schemas.openxmlformats.org/drawingml/2006/main" xmlns:pic="http://schemas.openxmlformats.org/drawingml/2006/picture">
            <wp:extent cx="4572000" cy="2024743"/>
            <wp:docPr id="5" name="Picture 5"/>
            <wp:cNvGraphicFramePr>
              <a:graphicFrameLocks noChangeAspect="1"/>
            </wp:cNvGraphicFramePr>
            <a:graphic>
              <a:graphicData uri="http://schemas.openxmlformats.org/drawingml/2006/picture">
                <pic:pic>
                  <pic:nvPicPr>
                    <pic:cNvPr id="0" name="chart_005.png"/>
                    <pic:cNvPicPr/>
                  </pic:nvPicPr>
                  <pic:blipFill>
                    <a:blip r:embed="rId13"/>
                    <a:stretch>
                      <a:fillRect/>
                    </a:stretch>
                  </pic:blipFill>
                  <pic:spPr>
                    <a:xfrm>
                      <a:off x="0" y="0"/>
                      <a:ext cx="4572000" cy="2024743"/>
                    </a:xfrm>
                    <a:prstGeom prst="rect"/>
                  </pic:spPr>
                </pic:pic>
              </a:graphicData>
            </a:graphic>
          </wp:inline>
        </w:drawing>
      </w:r>
    </w:p>
    <w:p>
      <w:pPr>
        <w:spacing w:before="40" w:after="160"/>
        <w:jc w:val="center"/>
      </w:pPr>
      <w:r>
        <w:rPr>
          <w:i/>
          <w:color w:val="6B7280"/>
          <w:sz w:val="18"/>
        </w:rPr>
        <w:t>Figure 2.1 — Operations count per cleaning step</w:t>
      </w:r>
    </w:p>
    <w:p>
      <w:pPr>
        <w:pStyle w:val="Heading2"/>
      </w:pPr>
      <w:r>
        <w:t>2.3  Column Standardisation</w:t>
      </w:r>
    </w:p>
    <w:p>
      <w:pPr>
        <w:spacing w:before="0" w:after="120"/>
        <w:jc w:val="left"/>
      </w:pPr>
      <w:r>
        <w:rPr>
          <w:rFonts w:ascii="Calibri" w:hAnsi="Calibri"/>
          <w:b w:val="0"/>
          <w:i w:val="0"/>
        </w:rPr>
        <w:t>The original Excel column names contain spaces, parentheses, hyphens, and special characters that are incompatible with Python dataframe operations and FHIR Measure ID conventions. The regex cleaning pipeline applies the following transformations in sequence:</w:t>
      </w:r>
    </w:p>
    <w:p>
      <w:pPr>
        <w:pStyle w:val="ListBullet"/>
        <w:spacing w:after="40"/>
      </w:pPr>
      <w:r>
        <w:rPr>
          <w:sz w:val="21"/>
        </w:rPr>
        <w:t>Strip leading/trailing whitespace</w:t>
      </w:r>
    </w:p>
    <w:p>
      <w:pPr>
        <w:pStyle w:val="ListBullet"/>
        <w:spacing w:after="40"/>
      </w:pPr>
      <w:r>
        <w:rPr>
          <w:sz w:val="21"/>
        </w:rPr>
        <w:t>Remove asterisks (*), parentheses (), plus signs (+)</w:t>
      </w:r>
    </w:p>
    <w:p>
      <w:pPr>
        <w:pStyle w:val="ListBullet"/>
        <w:spacing w:after="40"/>
      </w:pPr>
      <w:r>
        <w:rPr>
          <w:sz w:val="21"/>
        </w:rPr>
        <w:t>Replace spaces and hyphens with underscores</w:t>
      </w:r>
    </w:p>
    <w:p>
      <w:pPr>
        <w:pStyle w:val="ListBullet"/>
        <w:spacing w:after="40"/>
      </w:pPr>
      <w:r>
        <w:rPr>
          <w:sz w:val="21"/>
        </w:rPr>
        <w:t>Convert percentage sign (%) to _pct</w:t>
      </w:r>
    </w:p>
    <w:p>
      <w:pPr>
        <w:pStyle w:val="ListBullet"/>
        <w:spacing w:after="40"/>
      </w:pPr>
      <w:r>
        <w:rPr>
          <w:sz w:val="21"/>
        </w:rPr>
        <w:t>Convert colon (:) to _to_ (for age ranges)</w:t>
      </w:r>
    </w:p>
    <w:p>
      <w:pPr>
        <w:pStyle w:val="ListBullet"/>
        <w:spacing w:after="40"/>
      </w:pPr>
      <w:r>
        <w:rPr>
          <w:sz w:val="21"/>
        </w:rPr>
        <w:t>Convert all characters to lowercase</w:t>
      </w:r>
    </w:p>
    <w:p>
      <w:pPr>
        <w:pStyle w:val="ListBullet"/>
        <w:spacing w:after="40"/>
      </w:pPr>
      <w:r>
        <w:rPr>
          <w:sz w:val="21"/>
        </w:rPr>
        <w:t>Replace multiple consecutive underscores with single underscore</w:t>
      </w:r>
    </w:p>
    <w:p>
      <w:pPr>
        <w:spacing w:before="160" w:after="40"/>
      </w:pPr>
      <w:r>
        <w:rPr>
          <w:i/>
          <w:color w:val="6B7280"/>
          <w:sz w:val="18"/>
        </w:rPr>
        <w:t>Table 2.2 — Column Name Standardisation Examples</w:t>
      </w:r>
    </w:p>
    <w:tbl>
      <w:tblPr>
        <w:tblStyle w:val="TableGrid"/>
        <w:tblW w:type="auto" w:w="0"/>
        <w:jc w:val="center"/>
        <w:tblLook w:firstColumn="1" w:firstRow="1" w:lastColumn="0" w:lastRow="0" w:noHBand="0" w:noVBand="1" w:val="04A0"/>
      </w:tblPr>
      <w:tblGrid>
        <w:gridCol w:w="3024"/>
        <w:gridCol w:w="3024"/>
        <w:gridCol w:w="3024"/>
      </w:tblGrid>
      <w:tr>
        <w:tc>
          <w:tcPr>
            <w:tcW w:type="dxa" w:w="3118"/>
            <w:shd w:val="clear" w:color="auto" w:fill="1c3761"/>
          </w:tcPr>
          <w:p>
            <w:pPr>
              <w:jc w:val="center"/>
            </w:pPr>
            <w:r>
              <w:rPr>
                <w:rFonts w:ascii="Calibri" w:hAnsi="Calibri"/>
                <w:b/>
                <w:color w:val="FFFFFF"/>
                <w:sz w:val="19"/>
              </w:rPr>
              <w:t>Original Column Name</w:t>
            </w:r>
          </w:p>
        </w:tc>
        <w:tc>
          <w:tcPr>
            <w:tcW w:type="dxa" w:w="2835"/>
            <w:shd w:val="clear" w:color="auto" w:fill="1c3761"/>
          </w:tcPr>
          <w:p>
            <w:pPr>
              <w:jc w:val="center"/>
            </w:pPr>
            <w:r>
              <w:rPr>
                <w:rFonts w:ascii="Calibri" w:hAnsi="Calibri"/>
                <w:b/>
                <w:color w:val="FFFFFF"/>
                <w:sz w:val="19"/>
              </w:rPr>
              <w:t>Cleaned Name</w:t>
            </w:r>
          </w:p>
        </w:tc>
        <w:tc>
          <w:tcPr>
            <w:tcW w:type="dxa" w:w="1701"/>
            <w:shd w:val="clear" w:color="auto" w:fill="1c3761"/>
          </w:tcPr>
          <w:p>
            <w:pPr>
              <w:jc w:val="center"/>
            </w:pPr>
            <w:r>
              <w:rPr>
                <w:rFonts w:ascii="Calibri" w:hAnsi="Calibri"/>
                <w:b/>
                <w:color w:val="FFFFFF"/>
                <w:sz w:val="19"/>
              </w:rPr>
              <w:t>Group</w:t>
            </w:r>
          </w:p>
        </w:tc>
      </w:tr>
      <w:tr>
        <w:tc>
          <w:tcPr>
            <w:tcW w:type="dxa" w:w="3118"/>
            <w:shd w:val="clear" w:color="auto" w:fill="ffffff"/>
          </w:tcPr>
          <w:p>
            <w:r>
              <w:rPr>
                <w:rFonts w:ascii="Calibri" w:hAnsi="Calibri"/>
                <w:sz w:val="19"/>
              </w:rPr>
              <w:t>New Cases (Total)</w:t>
            </w:r>
          </w:p>
        </w:tc>
        <w:tc>
          <w:tcPr>
            <w:tcW w:type="dxa" w:w="2835"/>
            <w:shd w:val="clear" w:color="auto" w:fill="ffffff"/>
          </w:tcPr>
          <w:p>
            <w:r>
              <w:rPr>
                <w:rFonts w:ascii="Calibri" w:hAnsi="Calibri"/>
                <w:sz w:val="19"/>
              </w:rPr>
              <w:t>new_cases_total</w:t>
            </w:r>
          </w:p>
        </w:tc>
        <w:tc>
          <w:tcPr>
            <w:tcW w:type="dxa" w:w="1701"/>
            <w:shd w:val="clear" w:color="auto" w:fill="ffffff"/>
          </w:tcPr>
          <w:p>
            <w:r>
              <w:rPr>
                <w:rFonts w:ascii="Calibri" w:hAnsi="Calibri"/>
                <w:sz w:val="19"/>
              </w:rPr>
              <w:t>Notification</w:t>
            </w:r>
          </w:p>
        </w:tc>
      </w:tr>
      <w:tr>
        <w:tc>
          <w:tcPr>
            <w:tcW w:type="dxa" w:w="3118"/>
            <w:shd w:val="clear" w:color="auto" w:fill="f9fafb"/>
          </w:tcPr>
          <w:p>
            <w:r>
              <w:rPr>
                <w:rFonts w:ascii="Calibri" w:hAnsi="Calibri"/>
                <w:sz w:val="19"/>
              </w:rPr>
              <w:t>New Cases (Female)</w:t>
            </w:r>
          </w:p>
        </w:tc>
        <w:tc>
          <w:tcPr>
            <w:tcW w:type="dxa" w:w="2835"/>
            <w:shd w:val="clear" w:color="auto" w:fill="f9fafb"/>
          </w:tcPr>
          <w:p>
            <w:r>
              <w:rPr>
                <w:rFonts w:ascii="Calibri" w:hAnsi="Calibri"/>
                <w:sz w:val="19"/>
              </w:rPr>
              <w:t>new_cases_female</w:t>
            </w:r>
          </w:p>
        </w:tc>
        <w:tc>
          <w:tcPr>
            <w:tcW w:type="dxa" w:w="1701"/>
            <w:shd w:val="clear" w:color="auto" w:fill="f9fafb"/>
          </w:tcPr>
          <w:p>
            <w:r>
              <w:rPr>
                <w:rFonts w:ascii="Calibri" w:hAnsi="Calibri"/>
                <w:sz w:val="19"/>
              </w:rPr>
              <w:t>Notification</w:t>
            </w:r>
          </w:p>
        </w:tc>
      </w:tr>
      <w:tr>
        <w:tc>
          <w:tcPr>
            <w:tcW w:type="dxa" w:w="3118"/>
            <w:shd w:val="clear" w:color="auto" w:fill="ffffff"/>
          </w:tcPr>
          <w:p>
            <w:r>
              <w:rPr>
                <w:rFonts w:ascii="Calibri" w:hAnsi="Calibri"/>
                <w:sz w:val="19"/>
              </w:rPr>
              <w:t>Relapse (Female)</w:t>
            </w:r>
          </w:p>
        </w:tc>
        <w:tc>
          <w:tcPr>
            <w:tcW w:type="dxa" w:w="2835"/>
            <w:shd w:val="clear" w:color="auto" w:fill="ffffff"/>
          </w:tcPr>
          <w:p>
            <w:r>
              <w:rPr>
                <w:rFonts w:ascii="Calibri" w:hAnsi="Calibri"/>
                <w:sz w:val="19"/>
              </w:rPr>
              <w:t>relapse_female</w:t>
            </w:r>
          </w:p>
        </w:tc>
        <w:tc>
          <w:tcPr>
            <w:tcW w:type="dxa" w:w="1701"/>
            <w:shd w:val="clear" w:color="auto" w:fill="ffffff"/>
          </w:tcPr>
          <w:p>
            <w:r>
              <w:rPr>
                <w:rFonts w:ascii="Calibri" w:hAnsi="Calibri"/>
                <w:sz w:val="19"/>
              </w:rPr>
              <w:t>Relapse</w:t>
            </w:r>
          </w:p>
        </w:tc>
      </w:tr>
      <w:tr>
        <w:tc>
          <w:tcPr>
            <w:tcW w:type="dxa" w:w="3118"/>
            <w:shd w:val="clear" w:color="auto" w:fill="f9fafb"/>
          </w:tcPr>
          <w:p>
            <w:r>
              <w:rPr>
                <w:rFonts w:ascii="Calibri" w:hAnsi="Calibri"/>
                <w:sz w:val="19"/>
              </w:rPr>
              <w:t>TB-HIV +ve</w:t>
            </w:r>
          </w:p>
        </w:tc>
        <w:tc>
          <w:tcPr>
            <w:tcW w:type="dxa" w:w="2835"/>
            <w:shd w:val="clear" w:color="auto" w:fill="f9fafb"/>
          </w:tcPr>
          <w:p>
            <w:r>
              <w:rPr>
                <w:rFonts w:ascii="Calibri" w:hAnsi="Calibri"/>
                <w:sz w:val="19"/>
              </w:rPr>
              <w:t>tb_hiv_positive</w:t>
            </w:r>
          </w:p>
        </w:tc>
        <w:tc>
          <w:tcPr>
            <w:tcW w:type="dxa" w:w="1701"/>
            <w:shd w:val="clear" w:color="auto" w:fill="f9fafb"/>
          </w:tcPr>
          <w:p>
            <w:r>
              <w:rPr>
                <w:rFonts w:ascii="Calibri" w:hAnsi="Calibri"/>
                <w:sz w:val="19"/>
              </w:rPr>
              <w:t>Co-infection</w:t>
            </w:r>
          </w:p>
        </w:tc>
      </w:tr>
      <w:tr>
        <w:tc>
          <w:tcPr>
            <w:tcW w:type="dxa" w:w="3118"/>
            <w:shd w:val="clear" w:color="auto" w:fill="ffffff"/>
          </w:tcPr>
          <w:p>
            <w:r>
              <w:rPr>
                <w:rFonts w:ascii="Calibri" w:hAnsi="Calibri"/>
                <w:sz w:val="19"/>
              </w:rPr>
              <w:t>0 to 4 F</w:t>
            </w:r>
          </w:p>
        </w:tc>
        <w:tc>
          <w:tcPr>
            <w:tcW w:type="dxa" w:w="2835"/>
            <w:shd w:val="clear" w:color="auto" w:fill="ffffff"/>
          </w:tcPr>
          <w:p>
            <w:r>
              <w:rPr>
                <w:rFonts w:ascii="Calibri" w:hAnsi="Calibri"/>
                <w:sz w:val="19"/>
              </w:rPr>
              <w:t>0_to_4_f</w:t>
            </w:r>
          </w:p>
        </w:tc>
        <w:tc>
          <w:tcPr>
            <w:tcW w:type="dxa" w:w="1701"/>
            <w:shd w:val="clear" w:color="auto" w:fill="ffffff"/>
          </w:tcPr>
          <w:p>
            <w:r>
              <w:rPr>
                <w:rFonts w:ascii="Calibri" w:hAnsi="Calibri"/>
                <w:sz w:val="19"/>
              </w:rPr>
              <w:t>Age-sex band</w:t>
            </w:r>
          </w:p>
        </w:tc>
      </w:tr>
      <w:tr>
        <w:tc>
          <w:tcPr>
            <w:tcW w:type="dxa" w:w="3118"/>
            <w:shd w:val="clear" w:color="auto" w:fill="f9fafb"/>
          </w:tcPr>
          <w:p>
            <w:r>
              <w:rPr>
                <w:rFonts w:ascii="Calibri" w:hAnsi="Calibri"/>
                <w:sz w:val="19"/>
              </w:rPr>
              <w:t>15 to 24 M</w:t>
            </w:r>
          </w:p>
        </w:tc>
        <w:tc>
          <w:tcPr>
            <w:tcW w:type="dxa" w:w="2835"/>
            <w:shd w:val="clear" w:color="auto" w:fill="f9fafb"/>
          </w:tcPr>
          <w:p>
            <w:r>
              <w:rPr>
                <w:rFonts w:ascii="Calibri" w:hAnsi="Calibri"/>
                <w:sz w:val="19"/>
              </w:rPr>
              <w:t>15_to_24_m</w:t>
            </w:r>
          </w:p>
        </w:tc>
        <w:tc>
          <w:tcPr>
            <w:tcW w:type="dxa" w:w="1701"/>
            <w:shd w:val="clear" w:color="auto" w:fill="f9fafb"/>
          </w:tcPr>
          <w:p>
            <w:r>
              <w:rPr>
                <w:rFonts w:ascii="Calibri" w:hAnsi="Calibri"/>
                <w:sz w:val="19"/>
              </w:rPr>
              <w:t>Age-sex band</w:t>
            </w:r>
          </w:p>
        </w:tc>
      </w:tr>
      <w:tr>
        <w:tc>
          <w:tcPr>
            <w:tcW w:type="dxa" w:w="3118"/>
            <w:shd w:val="clear" w:color="auto" w:fill="ffffff"/>
          </w:tcPr>
          <w:p>
            <w:r>
              <w:rPr>
                <w:rFonts w:ascii="Calibri" w:hAnsi="Calibri"/>
                <w:sz w:val="19"/>
              </w:rPr>
              <w:t>District Pop (Mid-Year CBS)</w:t>
            </w:r>
          </w:p>
        </w:tc>
        <w:tc>
          <w:tcPr>
            <w:tcW w:type="dxa" w:w="2835"/>
            <w:shd w:val="clear" w:color="auto" w:fill="ffffff"/>
          </w:tcPr>
          <w:p>
            <w:r>
              <w:rPr>
                <w:rFonts w:ascii="Calibri" w:hAnsi="Calibri"/>
                <w:sz w:val="19"/>
              </w:rPr>
              <w:t>district_pop_mid_year_cbs</w:t>
            </w:r>
          </w:p>
        </w:tc>
        <w:tc>
          <w:tcPr>
            <w:tcW w:type="dxa" w:w="1701"/>
            <w:shd w:val="clear" w:color="auto" w:fill="ffffff"/>
          </w:tcPr>
          <w:p>
            <w:r>
              <w:rPr>
                <w:rFonts w:ascii="Calibri" w:hAnsi="Calibri"/>
                <w:sz w:val="19"/>
              </w:rPr>
              <w:t>Denominator</w:t>
            </w:r>
          </w:p>
        </w:tc>
      </w:tr>
      <w:tr>
        <w:tc>
          <w:tcPr>
            <w:tcW w:type="dxa" w:w="3118"/>
            <w:shd w:val="clear" w:color="auto" w:fill="f9fafb"/>
          </w:tcPr>
          <w:p>
            <w:r>
              <w:rPr>
                <w:rFonts w:ascii="Calibri" w:hAnsi="Calibri"/>
                <w:sz w:val="19"/>
              </w:rPr>
              <w:t>Not Evaluated</w:t>
            </w:r>
          </w:p>
        </w:tc>
        <w:tc>
          <w:tcPr>
            <w:tcW w:type="dxa" w:w="2835"/>
            <w:shd w:val="clear" w:color="auto" w:fill="f9fafb"/>
          </w:tcPr>
          <w:p>
            <w:r>
              <w:rPr>
                <w:rFonts w:ascii="Calibri" w:hAnsi="Calibri"/>
                <w:sz w:val="19"/>
              </w:rPr>
              <w:t>not_eval</w:t>
            </w:r>
          </w:p>
        </w:tc>
        <w:tc>
          <w:tcPr>
            <w:tcW w:type="dxa" w:w="1701"/>
            <w:shd w:val="clear" w:color="auto" w:fill="f9fafb"/>
          </w:tcPr>
          <w:p>
            <w:r>
              <w:rPr>
                <w:rFonts w:ascii="Calibri" w:hAnsi="Calibri"/>
                <w:sz w:val="19"/>
              </w:rPr>
              <w:t>Outcome</w:t>
            </w:r>
          </w:p>
        </w:tc>
      </w:tr>
    </w:tbl>
    <w:p/>
    <w:p>
      <w:pPr>
        <w:pStyle w:val="Heading2"/>
      </w:pPr>
      <w:r>
        <w:t>2.4  Pandera Schema Validation</w:t>
      </w:r>
    </w:p>
    <w:p>
      <w:pPr>
        <w:spacing w:before="0" w:after="120"/>
        <w:jc w:val="left"/>
      </w:pPr>
      <w:r>
        <w:rPr>
          <w:rFonts w:ascii="Calibri" w:hAnsi="Calibri"/>
          <w:b w:val="0"/>
          <w:i w:val="0"/>
        </w:rPr>
        <w:t>After cleaning, the dataset is validated against a Pandera schema that enforces six categories of constraints: (1) integer dtype for all count columns, (2) non-negativity across all numeric columns, (3) BS year in {2078, 2079, 2080, 2081, 2082}, (4) BS month in the 12-element MONTH_ORDER list, (5) new_cases_female + new_cases_male == new_cases_total for chron_order &gt; 3, and (6) cured + failed + died + ltfu + not_eval &lt;= pbc_reg for all 60 rows. All constraints passed with zero violations across 77,368 automated checks.</w:t>
      </w:r>
    </w:p>
    <w:p>
      <w:pPr>
        <w:jc w:val="center"/>
      </w:pPr>
      <w:r>
        <w:drawing>
          <wp:inline xmlns:a="http://schemas.openxmlformats.org/drawingml/2006/main" xmlns:pic="http://schemas.openxmlformats.org/drawingml/2006/picture">
            <wp:extent cx="5029200" cy="2083526"/>
            <wp:docPr id="6" name="Picture 6"/>
            <wp:cNvGraphicFramePr>
              <a:graphicFrameLocks noChangeAspect="1"/>
            </wp:cNvGraphicFramePr>
            <a:graphic>
              <a:graphicData uri="http://schemas.openxmlformats.org/drawingml/2006/picture">
                <pic:pic>
                  <pic:nvPicPr>
                    <pic:cNvPr id="0" name="chart_006.png"/>
                    <pic:cNvPicPr/>
                  </pic:nvPicPr>
                  <pic:blipFill>
                    <a:blip r:embed="rId14"/>
                    <a:stretch>
                      <a:fillRect/>
                    </a:stretch>
                  </pic:blipFill>
                  <pic:spPr>
                    <a:xfrm>
                      <a:off x="0" y="0"/>
                      <a:ext cx="5029200" cy="2083526"/>
                    </a:xfrm>
                    <a:prstGeom prst="rect"/>
                  </pic:spPr>
                </pic:pic>
              </a:graphicData>
            </a:graphic>
          </wp:inline>
        </w:drawing>
      </w:r>
    </w:p>
    <w:p>
      <w:pPr>
        <w:spacing w:before="40" w:after="160"/>
        <w:jc w:val="center"/>
      </w:pPr>
      <w:r>
        <w:rPr>
          <w:i/>
          <w:color w:val="6B7280"/>
          <w:sz w:val="18"/>
        </w:rPr>
        <w:t>Figure 2.2 — Pandera validation: zero violations across all rule categories</w:t>
      </w:r>
    </w:p>
    <w:p>
      <w:pPr>
        <w:pStyle w:val="Heading2"/>
      </w:pPr>
      <w:r>
        <w:t>2.5  Final Cleaned Dataset Profile</w:t>
      </w:r>
    </w:p>
    <w:p>
      <w:pPr>
        <w:spacing w:before="160" w:after="40"/>
      </w:pPr>
      <w:r>
        <w:rPr>
          <w:i/>
          <w:color w:val="6B7280"/>
          <w:sz w:val="18"/>
        </w:rPr>
        <w:t>Table 2.3 — Final Cleaned Dataset Profile</w:t>
      </w:r>
    </w:p>
    <w:tbl>
      <w:tblPr>
        <w:tblStyle w:val="TableGrid"/>
        <w:tblW w:type="auto" w:w="0"/>
        <w:jc w:val="center"/>
        <w:tblLook w:firstColumn="1" w:firstRow="1" w:lastColumn="0" w:lastRow="0" w:noHBand="0" w:noVBand="1" w:val="04A0"/>
      </w:tblPr>
      <w:tblGrid>
        <w:gridCol w:w="4536"/>
        <w:gridCol w:w="4536"/>
      </w:tblGrid>
      <w:tr>
        <w:tc>
          <w:tcPr>
            <w:tcW w:type="dxa" w:w="2835"/>
            <w:shd w:val="clear" w:color="auto" w:fill="1c3761"/>
          </w:tcPr>
          <w:p>
            <w:pPr>
              <w:jc w:val="center"/>
            </w:pPr>
            <w:r>
              <w:rPr>
                <w:rFonts w:ascii="Calibri" w:hAnsi="Calibri"/>
                <w:b/>
                <w:color w:val="FFFFFF"/>
                <w:sz w:val="19"/>
              </w:rPr>
              <w:t>Property</w:t>
            </w:r>
          </w:p>
        </w:tc>
        <w:tc>
          <w:tcPr>
            <w:tcW w:type="dxa" w:w="6350"/>
            <w:shd w:val="clear" w:color="auto" w:fill="1c3761"/>
          </w:tcPr>
          <w:p>
            <w:pPr>
              <w:jc w:val="center"/>
            </w:pPr>
            <w:r>
              <w:rPr>
                <w:rFonts w:ascii="Calibri" w:hAnsi="Calibri"/>
                <w:b/>
                <w:color w:val="FFFFFF"/>
                <w:sz w:val="19"/>
              </w:rPr>
              <w:t>Value</w:t>
            </w:r>
          </w:p>
        </w:tc>
      </w:tr>
      <w:tr>
        <w:tc>
          <w:tcPr>
            <w:tcW w:type="dxa" w:w="2835"/>
            <w:shd w:val="clear" w:color="auto" w:fill="ffffff"/>
          </w:tcPr>
          <w:p>
            <w:r>
              <w:rPr>
                <w:rFonts w:ascii="Calibri" w:hAnsi="Calibri"/>
                <w:sz w:val="19"/>
              </w:rPr>
              <w:t>Rows</w:t>
            </w:r>
          </w:p>
        </w:tc>
        <w:tc>
          <w:tcPr>
            <w:tcW w:type="dxa" w:w="6350"/>
            <w:shd w:val="clear" w:color="auto" w:fill="ffffff"/>
          </w:tcPr>
          <w:p>
            <w:r>
              <w:rPr>
                <w:rFonts w:ascii="Calibri" w:hAnsi="Calibri"/>
                <w:sz w:val="19"/>
              </w:rPr>
              <w:t>60</w:t>
            </w:r>
          </w:p>
        </w:tc>
      </w:tr>
      <w:tr>
        <w:tc>
          <w:tcPr>
            <w:tcW w:type="dxa" w:w="2835"/>
            <w:shd w:val="clear" w:color="auto" w:fill="f9fafb"/>
          </w:tcPr>
          <w:p>
            <w:r>
              <w:rPr>
                <w:rFonts w:ascii="Calibri" w:hAnsi="Calibri"/>
                <w:sz w:val="19"/>
              </w:rPr>
              <w:t>Columns</w:t>
            </w:r>
          </w:p>
        </w:tc>
        <w:tc>
          <w:tcPr>
            <w:tcW w:type="dxa" w:w="6350"/>
            <w:shd w:val="clear" w:color="auto" w:fill="f9fafb"/>
          </w:tcPr>
          <w:p>
            <w:r>
              <w:rPr>
                <w:rFonts w:ascii="Calibri" w:hAnsi="Calibri"/>
                <w:sz w:val="19"/>
              </w:rPr>
              <w:t>37 (34 original + chron_order + relapse_total + total_tb_mf)</w:t>
            </w:r>
          </w:p>
        </w:tc>
      </w:tr>
      <w:tr>
        <w:tc>
          <w:tcPr>
            <w:tcW w:type="dxa" w:w="2835"/>
            <w:shd w:val="clear" w:color="auto" w:fill="ffffff"/>
          </w:tcPr>
          <w:p>
            <w:r>
              <w:rPr>
                <w:rFonts w:ascii="Calibri" w:hAnsi="Calibri"/>
                <w:sz w:val="19"/>
              </w:rPr>
              <w:t>Null values</w:t>
            </w:r>
          </w:p>
        </w:tc>
        <w:tc>
          <w:tcPr>
            <w:tcW w:type="dxa" w:w="6350"/>
            <w:shd w:val="clear" w:color="auto" w:fill="ffffff"/>
          </w:tcPr>
          <w:p>
            <w:r>
              <w:rPr>
                <w:rFonts w:ascii="Calibri" w:hAnsi="Calibri"/>
                <w:sz w:val="19"/>
              </w:rPr>
              <w:t>0</w:t>
            </w:r>
          </w:p>
        </w:tc>
      </w:tr>
      <w:tr>
        <w:tc>
          <w:tcPr>
            <w:tcW w:type="dxa" w:w="2835"/>
            <w:shd w:val="clear" w:color="auto" w:fill="f9fafb"/>
          </w:tcPr>
          <w:p>
            <w:r>
              <w:rPr>
                <w:rFonts w:ascii="Calibri" w:hAnsi="Calibri"/>
                <w:sz w:val="19"/>
              </w:rPr>
              <w:t>Float columns</w:t>
            </w:r>
          </w:p>
        </w:tc>
        <w:tc>
          <w:tcPr>
            <w:tcW w:type="dxa" w:w="6350"/>
            <w:shd w:val="clear" w:color="auto" w:fill="f9fafb"/>
          </w:tcPr>
          <w:p>
            <w:r>
              <w:rPr>
                <w:rFonts w:ascii="Calibri" w:hAnsi="Calibri"/>
                <w:sz w:val="19"/>
              </w:rPr>
              <w:t>0 (all numerics are int64)</w:t>
            </w:r>
          </w:p>
        </w:tc>
      </w:tr>
      <w:tr>
        <w:tc>
          <w:tcPr>
            <w:tcW w:type="dxa" w:w="2835"/>
            <w:shd w:val="clear" w:color="auto" w:fill="ffffff"/>
          </w:tcPr>
          <w:p>
            <w:r>
              <w:rPr>
                <w:rFonts w:ascii="Calibri" w:hAnsi="Calibri"/>
                <w:sz w:val="19"/>
              </w:rPr>
              <w:t>Negative values</w:t>
            </w:r>
          </w:p>
        </w:tc>
        <w:tc>
          <w:tcPr>
            <w:tcW w:type="dxa" w:w="6350"/>
            <w:shd w:val="clear" w:color="auto" w:fill="ffffff"/>
          </w:tcPr>
          <w:p>
            <w:r>
              <w:rPr>
                <w:rFonts w:ascii="Calibri" w:hAnsi="Calibri"/>
                <w:sz w:val="19"/>
              </w:rPr>
              <w:t>0</w:t>
            </w:r>
          </w:p>
        </w:tc>
      </w:tr>
      <w:tr>
        <w:tc>
          <w:tcPr>
            <w:tcW w:type="dxa" w:w="2835"/>
            <w:shd w:val="clear" w:color="auto" w:fill="f9fafb"/>
          </w:tcPr>
          <w:p>
            <w:r>
              <w:rPr>
                <w:rFonts w:ascii="Calibri" w:hAnsi="Calibri"/>
                <w:sz w:val="19"/>
              </w:rPr>
              <w:t>Audit log entries</w:t>
            </w:r>
          </w:p>
        </w:tc>
        <w:tc>
          <w:tcPr>
            <w:tcW w:type="dxa" w:w="6350"/>
            <w:shd w:val="clear" w:color="auto" w:fill="f9fafb"/>
          </w:tcPr>
          <w:p>
            <w:r>
              <w:rPr>
                <w:rFonts w:ascii="Calibri" w:hAnsi="Calibri"/>
                <w:sz w:val="19"/>
              </w:rPr>
              <w:t>102+</w:t>
            </w:r>
          </w:p>
        </w:tc>
      </w:tr>
      <w:tr>
        <w:tc>
          <w:tcPr>
            <w:tcW w:type="dxa" w:w="2835"/>
            <w:shd w:val="clear" w:color="auto" w:fill="ffffff"/>
          </w:tcPr>
          <w:p>
            <w:r>
              <w:rPr>
                <w:rFonts w:ascii="Calibri" w:hAnsi="Calibri"/>
                <w:sz w:val="19"/>
              </w:rPr>
              <w:t>File</w:t>
            </w:r>
          </w:p>
        </w:tc>
        <w:tc>
          <w:tcPr>
            <w:tcW w:type="dxa" w:w="6350"/>
            <w:shd w:val="clear" w:color="auto" w:fill="ffffff"/>
          </w:tcPr>
          <w:p>
            <w:r>
              <w:rPr>
                <w:rFonts w:ascii="Calibri" w:hAnsi="Calibri"/>
                <w:sz w:val="19"/>
              </w:rPr>
              <w:t>data/final/final_cleaned_data.csv</w:t>
            </w:r>
          </w:p>
        </w:tc>
      </w:tr>
      <w:tr>
        <w:tc>
          <w:tcPr>
            <w:tcW w:type="dxa" w:w="2835"/>
            <w:shd w:val="clear" w:color="auto" w:fill="f9fafb"/>
          </w:tcPr>
          <w:p>
            <w:r>
              <w:rPr>
                <w:rFonts w:ascii="Calibri" w:hAnsi="Calibri"/>
                <w:sz w:val="19"/>
              </w:rPr>
              <w:t>Validation status</w:t>
            </w:r>
          </w:p>
        </w:tc>
        <w:tc>
          <w:tcPr>
            <w:tcW w:type="dxa" w:w="6350"/>
            <w:shd w:val="clear" w:color="auto" w:fill="f9fafb"/>
          </w:tcPr>
          <w:p>
            <w:r>
              <w:rPr>
                <w:rFonts w:ascii="Calibri" w:hAnsi="Calibri"/>
                <w:sz w:val="19"/>
              </w:rPr>
              <w:t>PASSED — 0 schema violations</w:t>
            </w:r>
          </w:p>
        </w:tc>
      </w:tr>
    </w:tbl>
    <w:p/>
    <w:tbl>
      <w:tblPr>
        <w:tblStyle w:val="TableGrid"/>
        <w:tblW w:type="auto" w:w="0"/>
        <w:tblLook w:firstColumn="1" w:firstRow="1" w:lastColumn="0" w:lastRow="0" w:noHBand="0" w:noVBand="1" w:val="04A0"/>
      </w:tblPr>
      <w:tblGrid>
        <w:gridCol w:w="9072"/>
      </w:tblGrid>
      <w:tr>
        <w:tc>
          <w:tcPr>
            <w:tcW w:type="dxa" w:w="9072"/>
            <w:shd w:val="clear" w:color="auto" w:fill="eff6ff"/>
          </w:tcPr>
          <w:p>
            <w:pPr>
              <w:spacing w:before="60" w:after="60"/>
            </w:pPr>
            <w:r>
              <w:rPr>
                <w:b/>
                <w:color w:val="1C3761"/>
                <w:sz w:val="19"/>
              </w:rPr>
              <w:t xml:space="preserve">NOTE:  </w:t>
            </w:r>
            <w:r>
              <w:rPr>
                <w:color w:val="1F2937"/>
                <w:sz w:val="19"/>
              </w:rPr>
              <w:t>The cleaning audit log (05_Cleaning_Audit_Log.csv) records timestamp, row index, column name, original value, cleaned value, fix type, and rule triggered for every operation. This enables full lineage tracing from any cleaned value back to the raw source.</w:t>
            </w:r>
          </w:p>
        </w:tc>
      </w:tr>
    </w:tbl>
    <w:p/>
    <w:p>
      <w:r>
        <w:br w:type="page"/>
      </w:r>
    </w:p>
    <w:p>
      <w:pPr>
        <w:pStyle w:val="Heading1"/>
      </w:pPr>
      <w:r>
        <w:t>Phase 3 — Indicator Operationalisation &amp; FHIR Harmonization</w:t>
      </w:r>
    </w:p>
    <w:tbl>
      <w:tblPr>
        <w:tblStyle w:val="TableGrid"/>
        <w:tblW w:type="auto" w:w="0"/>
        <w:jc w:val="center"/>
        <w:tblLook w:firstColumn="1" w:firstRow="1" w:lastColumn="0" w:lastRow="0" w:noHBand="0" w:noVBand="1" w:val="04A0"/>
      </w:tblPr>
      <w:tblGrid>
        <w:gridCol w:w="9072"/>
      </w:tblGrid>
      <w:tr>
        <w:tc>
          <w:tcPr>
            <w:tcW w:type="dxa" w:w="9072"/>
            <w:shd w:val="clear" w:color="auto" w:fill="eff6ff"/>
          </w:tcPr>
          <w:p>
            <w:pPr>
              <w:spacing w:before="80" w:after="80"/>
            </w:pPr>
            <w:r>
              <w:rPr>
                <w:b/>
                <w:color w:val="1C3761"/>
                <w:sz w:val="22"/>
              </w:rPr>
              <w:t>PHASE 3  —  Indicator Operationalisation &amp; FHIR Harmonization</w:t>
              <w:br/>
            </w:r>
            <w:r>
              <w:rPr>
                <w:b/>
                <w:color w:val="1C3761"/>
                <w:sz w:val="19"/>
              </w:rPr>
              <w:t xml:space="preserve">Objective: </w:t>
            </w:r>
            <w:r>
              <w:rPr>
                <w:color w:val="374151"/>
                <w:sz w:val="19"/>
              </w:rPr>
              <w:t>Compute 18 epidemiological indicators from cleaned counts and map each to a FHIR Measure scoring type.</w:t>
              <w:br/>
            </w:r>
            <w:r>
              <w:rPr>
                <w:b/>
                <w:color w:val="1C3761"/>
                <w:sz w:val="19"/>
              </w:rPr>
              <w:t xml:space="preserve">Inputs: </w:t>
            </w:r>
            <w:r>
              <w:rPr>
                <w:color w:val="374151"/>
                <w:sz w:val="19"/>
              </w:rPr>
              <w:t>data/final/final_cleaned_data.csv (60×37)</w:t>
              <w:br/>
            </w:r>
            <w:r>
              <w:rPr>
                <w:b/>
                <w:color w:val="1C3761"/>
                <w:sz w:val="19"/>
              </w:rPr>
              <w:t xml:space="preserve">Outputs: </w:t>
            </w:r>
            <w:r>
              <w:rPr>
                <w:color w:val="374151"/>
                <w:sz w:val="19"/>
              </w:rPr>
              <w:t>data/harmonized/harmonized_tb_data.csv (60×56), 11_DHIS2_FHIR_Mapping_Table.csv</w:t>
              <w:br/>
            </w:r>
            <w:r>
              <w:rPr>
                <w:b/>
                <w:color w:val="1C3761"/>
                <w:sz w:val="19"/>
              </w:rPr>
              <w:t xml:space="preserve">Scripts: </w:t>
            </w:r>
            <w:r>
              <w:rPr>
                <w:color w:val="374151"/>
                <w:sz w:val="19"/>
              </w:rPr>
              <w:t>04_indicators/01_calculate_indicators.py</w:t>
              <w:br/>
            </w:r>
          </w:p>
        </w:tc>
      </w:tr>
    </w:tbl>
    <w:p/>
    <w:p>
      <w:pPr>
        <w:pStyle w:val="Heading2"/>
      </w:pPr>
      <w:r>
        <w:t>3.1  Indicator Framework</w:t>
      </w:r>
    </w:p>
    <w:p>
      <w:pPr>
        <w:spacing w:before="0" w:after="120"/>
        <w:jc w:val="left"/>
      </w:pPr>
      <w:r>
        <w:rPr>
          <w:rFonts w:ascii="Calibri" w:hAnsi="Calibri"/>
          <w:b w:val="0"/>
          <w:i w:val="0"/>
        </w:rPr>
        <w:t>Eighteen indicators are computed from the cleaned raw counts. The indicators are grouped into three categories based on data availability:</w:t>
      </w:r>
    </w:p>
    <w:p>
      <w:pPr>
        <w:spacing w:before="0" w:after="120"/>
        <w:jc w:val="left"/>
      </w:pPr>
      <w:r>
        <w:rPr>
          <w:rFonts w:ascii="Calibri" w:hAnsi="Calibri"/>
          <w:b w:val="0"/>
          <w:i w:val="0"/>
        </w:rPr>
        <w:t>Group A (10 indicators, all 60 months): These indicators rely only on variables available for all 60 months — treatment outcome counts, new cases total, population denominator, and HIV co-infection. TSR, mortality rate, LTFU rate, failure rate, not-evaluated rate, bacteriological confirmation proportion, TB-HIV co-infection proportion, and annualised notification rate are all Group A.</w:t>
      </w:r>
    </w:p>
    <w:p>
      <w:pPr>
        <w:spacing w:before="0" w:after="120"/>
        <w:jc w:val="left"/>
      </w:pPr>
      <w:r>
        <w:rPr>
          <w:rFonts w:ascii="Calibri" w:hAnsi="Calibri"/>
          <w:b w:val="0"/>
          <w:i w:val="0"/>
        </w:rPr>
        <w:t>Group B (8 indicators, 57 months): These require sex- or age-disaggregated variables absent in the 3 gap months. Male-to-female notification ratio, relapse proportion, and the 8 age group proportions fall into this category. NaN is assigned for the 3 gap months — never imputed.</w:t>
      </w:r>
    </w:p>
    <w:p>
      <w:pPr>
        <w:spacing w:before="160" w:after="40"/>
      </w:pPr>
      <w:r>
        <w:rPr>
          <w:i/>
          <w:color w:val="6B7280"/>
          <w:sz w:val="18"/>
        </w:rPr>
        <w:t>Table 3.1 — 18 Indicators with FHIR Mapping and Statistics</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454"/>
            <w:shd w:val="clear" w:color="auto" w:fill="1c3761"/>
          </w:tcPr>
          <w:p>
            <w:pPr>
              <w:jc w:val="center"/>
            </w:pPr>
            <w:r>
              <w:rPr>
                <w:rFonts w:ascii="Calibri" w:hAnsi="Calibri"/>
                <w:b/>
                <w:color w:val="FFFFFF"/>
                <w:sz w:val="19"/>
              </w:rPr>
              <w:t>#</w:t>
            </w:r>
          </w:p>
        </w:tc>
        <w:tc>
          <w:tcPr>
            <w:tcW w:type="dxa" w:w="2268"/>
            <w:shd w:val="clear" w:color="auto" w:fill="1c3761"/>
          </w:tcPr>
          <w:p>
            <w:pPr>
              <w:jc w:val="center"/>
            </w:pPr>
            <w:r>
              <w:rPr>
                <w:rFonts w:ascii="Calibri" w:hAnsi="Calibri"/>
                <w:b/>
                <w:color w:val="FFFFFF"/>
                <w:sz w:val="19"/>
              </w:rPr>
              <w:t>Indicator</w:t>
            </w:r>
          </w:p>
        </w:tc>
        <w:tc>
          <w:tcPr>
            <w:tcW w:type="dxa" w:w="1814"/>
            <w:shd w:val="clear" w:color="auto" w:fill="1c3761"/>
          </w:tcPr>
          <w:p>
            <w:pPr>
              <w:jc w:val="center"/>
            </w:pPr>
            <w:r>
              <w:rPr>
                <w:rFonts w:ascii="Calibri" w:hAnsi="Calibri"/>
                <w:b/>
                <w:color w:val="FFFFFF"/>
                <w:sz w:val="19"/>
              </w:rPr>
              <w:t>Formula</w:t>
            </w:r>
          </w:p>
        </w:tc>
        <w:tc>
          <w:tcPr>
            <w:tcW w:type="dxa" w:w="680"/>
            <w:shd w:val="clear" w:color="auto" w:fill="1c3761"/>
          </w:tcPr>
          <w:p>
            <w:pPr>
              <w:jc w:val="center"/>
            </w:pPr>
            <w:r>
              <w:rPr>
                <w:rFonts w:ascii="Calibri" w:hAnsi="Calibri"/>
                <w:b/>
                <w:color w:val="FFFFFF"/>
                <w:sz w:val="19"/>
              </w:rPr>
              <w:t>Group</w:t>
            </w:r>
          </w:p>
        </w:tc>
        <w:tc>
          <w:tcPr>
            <w:tcW w:type="dxa" w:w="1247"/>
            <w:shd w:val="clear" w:color="auto" w:fill="1c3761"/>
          </w:tcPr>
          <w:p>
            <w:pPr>
              <w:jc w:val="center"/>
            </w:pPr>
            <w:r>
              <w:rPr>
                <w:rFonts w:ascii="Calibri" w:hAnsi="Calibri"/>
                <w:b/>
                <w:color w:val="FFFFFF"/>
                <w:sz w:val="19"/>
              </w:rPr>
              <w:t>FHIR Scoring</w:t>
            </w:r>
          </w:p>
        </w:tc>
        <w:tc>
          <w:tcPr>
            <w:tcW w:type="dxa" w:w="850"/>
            <w:shd w:val="clear" w:color="auto" w:fill="1c3761"/>
          </w:tcPr>
          <w:p>
            <w:pPr>
              <w:jc w:val="center"/>
            </w:pPr>
            <w:r>
              <w:rPr>
                <w:rFonts w:ascii="Calibri" w:hAnsi="Calibri"/>
                <w:b/>
                <w:color w:val="FFFFFF"/>
                <w:sz w:val="19"/>
              </w:rPr>
              <w:t>Mean</w:t>
            </w:r>
          </w:p>
        </w:tc>
        <w:tc>
          <w:tcPr>
            <w:tcW w:type="dxa" w:w="737"/>
            <w:shd w:val="clear" w:color="auto" w:fill="1c3761"/>
          </w:tcPr>
          <w:p>
            <w:pPr>
              <w:jc w:val="center"/>
            </w:pPr>
            <w:r>
              <w:rPr>
                <w:rFonts w:ascii="Calibri" w:hAnsi="Calibri"/>
                <w:b/>
                <w:color w:val="FFFFFF"/>
                <w:sz w:val="19"/>
              </w:rPr>
              <w:t>Min</w:t>
            </w:r>
          </w:p>
        </w:tc>
        <w:tc>
          <w:tcPr>
            <w:tcW w:type="dxa" w:w="737"/>
            <w:shd w:val="clear" w:color="auto" w:fill="1c3761"/>
          </w:tcPr>
          <w:p>
            <w:pPr>
              <w:jc w:val="center"/>
            </w:pPr>
            <w:r>
              <w:rPr>
                <w:rFonts w:ascii="Calibri" w:hAnsi="Calibri"/>
                <w:b/>
                <w:color w:val="FFFFFF"/>
                <w:sz w:val="19"/>
              </w:rPr>
              <w:t>Max</w:t>
            </w:r>
          </w:p>
        </w:tc>
      </w:tr>
      <w:tr>
        <w:tc>
          <w:tcPr>
            <w:tcW w:type="dxa" w:w="454"/>
            <w:shd w:val="clear" w:color="auto" w:fill="ffffff"/>
          </w:tcPr>
          <w:p>
            <w:r>
              <w:rPr>
                <w:rFonts w:ascii="Calibri" w:hAnsi="Calibri"/>
                <w:sz w:val="19"/>
              </w:rPr>
              <w:t>1</w:t>
            </w:r>
          </w:p>
        </w:tc>
        <w:tc>
          <w:tcPr>
            <w:tcW w:type="dxa" w:w="2268"/>
            <w:shd w:val="clear" w:color="auto" w:fill="ffffff"/>
          </w:tcPr>
          <w:p>
            <w:r>
              <w:rPr>
                <w:rFonts w:ascii="Calibri" w:hAnsi="Calibri"/>
                <w:sz w:val="19"/>
              </w:rPr>
              <w:t>Treatment Success Rate (TSR)</w:t>
            </w:r>
          </w:p>
        </w:tc>
        <w:tc>
          <w:tcPr>
            <w:tcW w:type="dxa" w:w="1814"/>
            <w:shd w:val="clear" w:color="auto" w:fill="ffffff"/>
          </w:tcPr>
          <w:p>
            <w:r>
              <w:rPr>
                <w:rFonts w:ascii="Calibri" w:hAnsi="Calibri"/>
                <w:sz w:val="19"/>
              </w:rPr>
              <w:t>cured / pbc_reg</w:t>
            </w:r>
          </w:p>
        </w:tc>
        <w:tc>
          <w:tcPr>
            <w:tcW w:type="dxa" w:w="680"/>
            <w:shd w:val="clear" w:color="auto" w:fill="ffffff"/>
          </w:tcPr>
          <w:p>
            <w:r>
              <w:rPr>
                <w:rFonts w:ascii="Calibri" w:hAnsi="Calibri"/>
                <w:sz w:val="19"/>
              </w:rPr>
              <w:t>A</w:t>
            </w:r>
          </w:p>
        </w:tc>
        <w:tc>
          <w:tcPr>
            <w:tcW w:type="dxa" w:w="1247"/>
            <w:shd w:val="clear" w:color="auto" w:fill="ffffff"/>
          </w:tcPr>
          <w:p>
            <w:r>
              <w:rPr>
                <w:rFonts w:ascii="Calibri" w:hAnsi="Calibri"/>
                <w:sz w:val="19"/>
              </w:rPr>
              <w:t>proportion</w:t>
            </w:r>
          </w:p>
        </w:tc>
        <w:tc>
          <w:tcPr>
            <w:tcW w:type="dxa" w:w="850"/>
            <w:shd w:val="clear" w:color="auto" w:fill="ffffff"/>
          </w:tcPr>
          <w:p>
            <w:r>
              <w:rPr>
                <w:rFonts w:ascii="Calibri" w:hAnsi="Calibri"/>
                <w:sz w:val="19"/>
              </w:rPr>
              <w:t>84.0%</w:t>
            </w:r>
          </w:p>
        </w:tc>
        <w:tc>
          <w:tcPr>
            <w:tcW w:type="dxa" w:w="737"/>
            <w:shd w:val="clear" w:color="auto" w:fill="ffffff"/>
          </w:tcPr>
          <w:p>
            <w:r>
              <w:rPr>
                <w:rFonts w:ascii="Calibri" w:hAnsi="Calibri"/>
                <w:sz w:val="19"/>
              </w:rPr>
              <w:t>70.2%</w:t>
            </w:r>
          </w:p>
        </w:tc>
        <w:tc>
          <w:tcPr>
            <w:tcW w:type="dxa" w:w="737"/>
            <w:shd w:val="clear" w:color="auto" w:fill="ffffff"/>
          </w:tcPr>
          <w:p>
            <w:r>
              <w:rPr>
                <w:rFonts w:ascii="Calibri" w:hAnsi="Calibri"/>
                <w:sz w:val="19"/>
              </w:rPr>
              <w:t>95.2%</w:t>
            </w:r>
          </w:p>
        </w:tc>
      </w:tr>
      <w:tr>
        <w:tc>
          <w:tcPr>
            <w:tcW w:type="dxa" w:w="454"/>
            <w:shd w:val="clear" w:color="auto" w:fill="f9fafb"/>
          </w:tcPr>
          <w:p>
            <w:r>
              <w:rPr>
                <w:rFonts w:ascii="Calibri" w:hAnsi="Calibri"/>
                <w:sz w:val="19"/>
              </w:rPr>
              <w:t>2</w:t>
            </w:r>
          </w:p>
        </w:tc>
        <w:tc>
          <w:tcPr>
            <w:tcW w:type="dxa" w:w="2268"/>
            <w:shd w:val="clear" w:color="auto" w:fill="f9fafb"/>
          </w:tcPr>
          <w:p>
            <w:r>
              <w:rPr>
                <w:rFonts w:ascii="Calibri" w:hAnsi="Calibri"/>
                <w:sz w:val="19"/>
              </w:rPr>
              <w:t>Notification Rate /100k</w:t>
            </w:r>
          </w:p>
        </w:tc>
        <w:tc>
          <w:tcPr>
            <w:tcW w:type="dxa" w:w="1814"/>
            <w:shd w:val="clear" w:color="auto" w:fill="f9fafb"/>
          </w:tcPr>
          <w:p>
            <w:r>
              <w:rPr>
                <w:rFonts w:ascii="Calibri" w:hAnsi="Calibri"/>
                <w:sz w:val="19"/>
              </w:rPr>
              <w:t>cases×12 / pop × 100k</w:t>
            </w:r>
          </w:p>
        </w:tc>
        <w:tc>
          <w:tcPr>
            <w:tcW w:type="dxa" w:w="680"/>
            <w:shd w:val="clear" w:color="auto" w:fill="f9fafb"/>
          </w:tcPr>
          <w:p>
            <w:r>
              <w:rPr>
                <w:rFonts w:ascii="Calibri" w:hAnsi="Calibri"/>
                <w:sz w:val="19"/>
              </w:rPr>
              <w:t>A</w:t>
            </w:r>
          </w:p>
        </w:tc>
        <w:tc>
          <w:tcPr>
            <w:tcW w:type="dxa" w:w="1247"/>
            <w:shd w:val="clear" w:color="auto" w:fill="f9fafb"/>
          </w:tcPr>
          <w:p>
            <w:r>
              <w:rPr>
                <w:rFonts w:ascii="Calibri" w:hAnsi="Calibri"/>
                <w:sz w:val="19"/>
              </w:rPr>
              <w:t>ratio</w:t>
            </w:r>
          </w:p>
        </w:tc>
        <w:tc>
          <w:tcPr>
            <w:tcW w:type="dxa" w:w="850"/>
            <w:shd w:val="clear" w:color="auto" w:fill="f9fafb"/>
          </w:tcPr>
          <w:p>
            <w:r>
              <w:rPr>
                <w:rFonts w:ascii="Calibri" w:hAnsi="Calibri"/>
                <w:sz w:val="19"/>
              </w:rPr>
              <w:t>164.1</w:t>
            </w:r>
          </w:p>
        </w:tc>
        <w:tc>
          <w:tcPr>
            <w:tcW w:type="dxa" w:w="737"/>
            <w:shd w:val="clear" w:color="auto" w:fill="f9fafb"/>
          </w:tcPr>
          <w:p>
            <w:r>
              <w:rPr>
                <w:rFonts w:ascii="Calibri" w:hAnsi="Calibri"/>
                <w:sz w:val="19"/>
              </w:rPr>
              <w:t>92.1</w:t>
            </w:r>
          </w:p>
        </w:tc>
        <w:tc>
          <w:tcPr>
            <w:tcW w:type="dxa" w:w="737"/>
            <w:shd w:val="clear" w:color="auto" w:fill="f9fafb"/>
          </w:tcPr>
          <w:p>
            <w:r>
              <w:rPr>
                <w:rFonts w:ascii="Calibri" w:hAnsi="Calibri"/>
                <w:sz w:val="19"/>
              </w:rPr>
              <w:t>231.5</w:t>
            </w:r>
          </w:p>
        </w:tc>
      </w:tr>
      <w:tr>
        <w:tc>
          <w:tcPr>
            <w:tcW w:type="dxa" w:w="454"/>
            <w:shd w:val="clear" w:color="auto" w:fill="ffffff"/>
          </w:tcPr>
          <w:p>
            <w:r>
              <w:rPr>
                <w:rFonts w:ascii="Calibri" w:hAnsi="Calibri"/>
                <w:sz w:val="19"/>
              </w:rPr>
              <w:t>3</w:t>
            </w:r>
          </w:p>
        </w:tc>
        <w:tc>
          <w:tcPr>
            <w:tcW w:type="dxa" w:w="2268"/>
            <w:shd w:val="clear" w:color="auto" w:fill="ffffff"/>
          </w:tcPr>
          <w:p>
            <w:r>
              <w:rPr>
                <w:rFonts w:ascii="Calibri" w:hAnsi="Calibri"/>
                <w:sz w:val="19"/>
              </w:rPr>
              <w:t>Mortality Rate</w:t>
            </w:r>
          </w:p>
        </w:tc>
        <w:tc>
          <w:tcPr>
            <w:tcW w:type="dxa" w:w="1814"/>
            <w:shd w:val="clear" w:color="auto" w:fill="ffffff"/>
          </w:tcPr>
          <w:p>
            <w:r>
              <w:rPr>
                <w:rFonts w:ascii="Calibri" w:hAnsi="Calibri"/>
                <w:sz w:val="19"/>
              </w:rPr>
              <w:t>died / pbc_reg</w:t>
            </w:r>
          </w:p>
        </w:tc>
        <w:tc>
          <w:tcPr>
            <w:tcW w:type="dxa" w:w="680"/>
            <w:shd w:val="clear" w:color="auto" w:fill="ffffff"/>
          </w:tcPr>
          <w:p>
            <w:r>
              <w:rPr>
                <w:rFonts w:ascii="Calibri" w:hAnsi="Calibri"/>
                <w:sz w:val="19"/>
              </w:rPr>
              <w:t>A</w:t>
            </w:r>
          </w:p>
        </w:tc>
        <w:tc>
          <w:tcPr>
            <w:tcW w:type="dxa" w:w="1247"/>
            <w:shd w:val="clear" w:color="auto" w:fill="ffffff"/>
          </w:tcPr>
          <w:p>
            <w:r>
              <w:rPr>
                <w:rFonts w:ascii="Calibri" w:hAnsi="Calibri"/>
                <w:sz w:val="19"/>
              </w:rPr>
              <w:t>proportion</w:t>
            </w:r>
          </w:p>
        </w:tc>
        <w:tc>
          <w:tcPr>
            <w:tcW w:type="dxa" w:w="850"/>
            <w:shd w:val="clear" w:color="auto" w:fill="ffffff"/>
          </w:tcPr>
          <w:p>
            <w:r>
              <w:rPr>
                <w:rFonts w:ascii="Calibri" w:hAnsi="Calibri"/>
                <w:sz w:val="19"/>
              </w:rPr>
              <w:t>2.2%</w:t>
            </w:r>
          </w:p>
        </w:tc>
        <w:tc>
          <w:tcPr>
            <w:tcW w:type="dxa" w:w="737"/>
            <w:shd w:val="clear" w:color="auto" w:fill="ffffff"/>
          </w:tcPr>
          <w:p>
            <w:r>
              <w:rPr>
                <w:rFonts w:ascii="Calibri" w:hAnsi="Calibri"/>
                <w:sz w:val="19"/>
              </w:rPr>
              <w:t>0.0%</w:t>
            </w:r>
          </w:p>
        </w:tc>
        <w:tc>
          <w:tcPr>
            <w:tcW w:type="dxa" w:w="737"/>
            <w:shd w:val="clear" w:color="auto" w:fill="ffffff"/>
          </w:tcPr>
          <w:p>
            <w:r>
              <w:rPr>
                <w:rFonts w:ascii="Calibri" w:hAnsi="Calibri"/>
                <w:sz w:val="19"/>
              </w:rPr>
              <w:t>5.3%</w:t>
            </w:r>
          </w:p>
        </w:tc>
      </w:tr>
      <w:tr>
        <w:tc>
          <w:tcPr>
            <w:tcW w:type="dxa" w:w="454"/>
            <w:shd w:val="clear" w:color="auto" w:fill="f9fafb"/>
          </w:tcPr>
          <w:p>
            <w:r>
              <w:rPr>
                <w:rFonts w:ascii="Calibri" w:hAnsi="Calibri"/>
                <w:sz w:val="19"/>
              </w:rPr>
              <w:t>4</w:t>
            </w:r>
          </w:p>
        </w:tc>
        <w:tc>
          <w:tcPr>
            <w:tcW w:type="dxa" w:w="2268"/>
            <w:shd w:val="clear" w:color="auto" w:fill="f9fafb"/>
          </w:tcPr>
          <w:p>
            <w:r>
              <w:rPr>
                <w:rFonts w:ascii="Calibri" w:hAnsi="Calibri"/>
                <w:sz w:val="19"/>
              </w:rPr>
              <w:t>LTFU Rate</w:t>
            </w:r>
          </w:p>
        </w:tc>
        <w:tc>
          <w:tcPr>
            <w:tcW w:type="dxa" w:w="1814"/>
            <w:shd w:val="clear" w:color="auto" w:fill="f9fafb"/>
          </w:tcPr>
          <w:p>
            <w:r>
              <w:rPr>
                <w:rFonts w:ascii="Calibri" w:hAnsi="Calibri"/>
                <w:sz w:val="19"/>
              </w:rPr>
              <w:t>ltfu / pbc_reg</w:t>
            </w:r>
          </w:p>
        </w:tc>
        <w:tc>
          <w:tcPr>
            <w:tcW w:type="dxa" w:w="680"/>
            <w:shd w:val="clear" w:color="auto" w:fill="f9fafb"/>
          </w:tcPr>
          <w:p>
            <w:r>
              <w:rPr>
                <w:rFonts w:ascii="Calibri" w:hAnsi="Calibri"/>
                <w:sz w:val="19"/>
              </w:rPr>
              <w:t>A</w:t>
            </w:r>
          </w:p>
        </w:tc>
        <w:tc>
          <w:tcPr>
            <w:tcW w:type="dxa" w:w="1247"/>
            <w:shd w:val="clear" w:color="auto" w:fill="f9fafb"/>
          </w:tcPr>
          <w:p>
            <w:r>
              <w:rPr>
                <w:rFonts w:ascii="Calibri" w:hAnsi="Calibri"/>
                <w:sz w:val="19"/>
              </w:rPr>
              <w:t>proportion</w:t>
            </w:r>
          </w:p>
        </w:tc>
        <w:tc>
          <w:tcPr>
            <w:tcW w:type="dxa" w:w="850"/>
            <w:shd w:val="clear" w:color="auto" w:fill="f9fafb"/>
          </w:tcPr>
          <w:p>
            <w:r>
              <w:rPr>
                <w:rFonts w:ascii="Calibri" w:hAnsi="Calibri"/>
                <w:sz w:val="19"/>
              </w:rPr>
              <w:t>1.9%</w:t>
            </w:r>
          </w:p>
        </w:tc>
        <w:tc>
          <w:tcPr>
            <w:tcW w:type="dxa" w:w="737"/>
            <w:shd w:val="clear" w:color="auto" w:fill="f9fafb"/>
          </w:tcPr>
          <w:p>
            <w:r>
              <w:rPr>
                <w:rFonts w:ascii="Calibri" w:hAnsi="Calibri"/>
                <w:sz w:val="19"/>
              </w:rPr>
              <w:t>0.0%</w:t>
            </w:r>
          </w:p>
        </w:tc>
        <w:tc>
          <w:tcPr>
            <w:tcW w:type="dxa" w:w="737"/>
            <w:shd w:val="clear" w:color="auto" w:fill="f9fafb"/>
          </w:tcPr>
          <w:p>
            <w:r>
              <w:rPr>
                <w:rFonts w:ascii="Calibri" w:hAnsi="Calibri"/>
                <w:sz w:val="19"/>
              </w:rPr>
              <w:t>6.2%</w:t>
            </w:r>
          </w:p>
        </w:tc>
      </w:tr>
      <w:tr>
        <w:tc>
          <w:tcPr>
            <w:tcW w:type="dxa" w:w="454"/>
            <w:shd w:val="clear" w:color="auto" w:fill="ffffff"/>
          </w:tcPr>
          <w:p>
            <w:r>
              <w:rPr>
                <w:rFonts w:ascii="Calibri" w:hAnsi="Calibri"/>
                <w:sz w:val="19"/>
              </w:rPr>
              <w:t>5</w:t>
            </w:r>
          </w:p>
        </w:tc>
        <w:tc>
          <w:tcPr>
            <w:tcW w:type="dxa" w:w="2268"/>
            <w:shd w:val="clear" w:color="auto" w:fill="ffffff"/>
          </w:tcPr>
          <w:p>
            <w:r>
              <w:rPr>
                <w:rFonts w:ascii="Calibri" w:hAnsi="Calibri"/>
                <w:sz w:val="19"/>
              </w:rPr>
              <w:t>Failure Rate</w:t>
            </w:r>
          </w:p>
        </w:tc>
        <w:tc>
          <w:tcPr>
            <w:tcW w:type="dxa" w:w="1814"/>
            <w:shd w:val="clear" w:color="auto" w:fill="ffffff"/>
          </w:tcPr>
          <w:p>
            <w:r>
              <w:rPr>
                <w:rFonts w:ascii="Calibri" w:hAnsi="Calibri"/>
                <w:sz w:val="19"/>
              </w:rPr>
              <w:t>failed / pbc_reg</w:t>
            </w:r>
          </w:p>
        </w:tc>
        <w:tc>
          <w:tcPr>
            <w:tcW w:type="dxa" w:w="680"/>
            <w:shd w:val="clear" w:color="auto" w:fill="ffffff"/>
          </w:tcPr>
          <w:p>
            <w:r>
              <w:rPr>
                <w:rFonts w:ascii="Calibri" w:hAnsi="Calibri"/>
                <w:sz w:val="19"/>
              </w:rPr>
              <w:t>A</w:t>
            </w:r>
          </w:p>
        </w:tc>
        <w:tc>
          <w:tcPr>
            <w:tcW w:type="dxa" w:w="1247"/>
            <w:shd w:val="clear" w:color="auto" w:fill="ffffff"/>
          </w:tcPr>
          <w:p>
            <w:r>
              <w:rPr>
                <w:rFonts w:ascii="Calibri" w:hAnsi="Calibri"/>
                <w:sz w:val="19"/>
              </w:rPr>
              <w:t>proportion</w:t>
            </w:r>
          </w:p>
        </w:tc>
        <w:tc>
          <w:tcPr>
            <w:tcW w:type="dxa" w:w="850"/>
            <w:shd w:val="clear" w:color="auto" w:fill="ffffff"/>
          </w:tcPr>
          <w:p>
            <w:r>
              <w:rPr>
                <w:rFonts w:ascii="Calibri" w:hAnsi="Calibri"/>
                <w:sz w:val="19"/>
              </w:rPr>
              <w:t>0.8%</w:t>
            </w:r>
          </w:p>
        </w:tc>
        <w:tc>
          <w:tcPr>
            <w:tcW w:type="dxa" w:w="737"/>
            <w:shd w:val="clear" w:color="auto" w:fill="ffffff"/>
          </w:tcPr>
          <w:p>
            <w:r>
              <w:rPr>
                <w:rFonts w:ascii="Calibri" w:hAnsi="Calibri"/>
                <w:sz w:val="19"/>
              </w:rPr>
              <w:t>0.0%</w:t>
            </w:r>
          </w:p>
        </w:tc>
        <w:tc>
          <w:tcPr>
            <w:tcW w:type="dxa" w:w="737"/>
            <w:shd w:val="clear" w:color="auto" w:fill="ffffff"/>
          </w:tcPr>
          <w:p>
            <w:r>
              <w:rPr>
                <w:rFonts w:ascii="Calibri" w:hAnsi="Calibri"/>
                <w:sz w:val="19"/>
              </w:rPr>
              <w:t>3.8%</w:t>
            </w:r>
          </w:p>
        </w:tc>
      </w:tr>
      <w:tr>
        <w:tc>
          <w:tcPr>
            <w:tcW w:type="dxa" w:w="454"/>
            <w:shd w:val="clear" w:color="auto" w:fill="f9fafb"/>
          </w:tcPr>
          <w:p>
            <w:r>
              <w:rPr>
                <w:rFonts w:ascii="Calibri" w:hAnsi="Calibri"/>
                <w:sz w:val="19"/>
              </w:rPr>
              <w:t>6</w:t>
            </w:r>
          </w:p>
        </w:tc>
        <w:tc>
          <w:tcPr>
            <w:tcW w:type="dxa" w:w="2268"/>
            <w:shd w:val="clear" w:color="auto" w:fill="f9fafb"/>
          </w:tcPr>
          <w:p>
            <w:r>
              <w:rPr>
                <w:rFonts w:ascii="Calibri" w:hAnsi="Calibri"/>
                <w:sz w:val="19"/>
              </w:rPr>
              <w:t>Not Evaluated Rate</w:t>
            </w:r>
          </w:p>
        </w:tc>
        <w:tc>
          <w:tcPr>
            <w:tcW w:type="dxa" w:w="1814"/>
            <w:shd w:val="clear" w:color="auto" w:fill="f9fafb"/>
          </w:tcPr>
          <w:p>
            <w:r>
              <w:rPr>
                <w:rFonts w:ascii="Calibri" w:hAnsi="Calibri"/>
                <w:sz w:val="19"/>
              </w:rPr>
              <w:t>not_eval / pbc_reg</w:t>
            </w:r>
          </w:p>
        </w:tc>
        <w:tc>
          <w:tcPr>
            <w:tcW w:type="dxa" w:w="680"/>
            <w:shd w:val="clear" w:color="auto" w:fill="f9fafb"/>
          </w:tcPr>
          <w:p>
            <w:r>
              <w:rPr>
                <w:rFonts w:ascii="Calibri" w:hAnsi="Calibri"/>
                <w:sz w:val="19"/>
              </w:rPr>
              <w:t>A</w:t>
            </w:r>
          </w:p>
        </w:tc>
        <w:tc>
          <w:tcPr>
            <w:tcW w:type="dxa" w:w="1247"/>
            <w:shd w:val="clear" w:color="auto" w:fill="f9fafb"/>
          </w:tcPr>
          <w:p>
            <w:r>
              <w:rPr>
                <w:rFonts w:ascii="Calibri" w:hAnsi="Calibri"/>
                <w:sz w:val="19"/>
              </w:rPr>
              <w:t>proportion</w:t>
            </w:r>
          </w:p>
        </w:tc>
        <w:tc>
          <w:tcPr>
            <w:tcW w:type="dxa" w:w="850"/>
            <w:shd w:val="clear" w:color="auto" w:fill="f9fafb"/>
          </w:tcPr>
          <w:p>
            <w:r>
              <w:rPr>
                <w:rFonts w:ascii="Calibri" w:hAnsi="Calibri"/>
                <w:sz w:val="19"/>
              </w:rPr>
              <w:t>4.3%</w:t>
            </w:r>
          </w:p>
        </w:tc>
        <w:tc>
          <w:tcPr>
            <w:tcW w:type="dxa" w:w="737"/>
            <w:shd w:val="clear" w:color="auto" w:fill="f9fafb"/>
          </w:tcPr>
          <w:p>
            <w:r>
              <w:rPr>
                <w:rFonts w:ascii="Calibri" w:hAnsi="Calibri"/>
                <w:sz w:val="19"/>
              </w:rPr>
              <w:t>0.0%</w:t>
            </w:r>
          </w:p>
        </w:tc>
        <w:tc>
          <w:tcPr>
            <w:tcW w:type="dxa" w:w="737"/>
            <w:shd w:val="clear" w:color="auto" w:fill="f9fafb"/>
          </w:tcPr>
          <w:p>
            <w:r>
              <w:rPr>
                <w:rFonts w:ascii="Calibri" w:hAnsi="Calibri"/>
                <w:sz w:val="19"/>
              </w:rPr>
              <w:t>13.9%</w:t>
            </w:r>
          </w:p>
        </w:tc>
      </w:tr>
      <w:tr>
        <w:tc>
          <w:tcPr>
            <w:tcW w:type="dxa" w:w="454"/>
            <w:shd w:val="clear" w:color="auto" w:fill="ffffff"/>
          </w:tcPr>
          <w:p>
            <w:r>
              <w:rPr>
                <w:rFonts w:ascii="Calibri" w:hAnsi="Calibri"/>
                <w:sz w:val="19"/>
              </w:rPr>
              <w:t>7</w:t>
            </w:r>
          </w:p>
        </w:tc>
        <w:tc>
          <w:tcPr>
            <w:tcW w:type="dxa" w:w="2268"/>
            <w:shd w:val="clear" w:color="auto" w:fill="ffffff"/>
          </w:tcPr>
          <w:p>
            <w:r>
              <w:rPr>
                <w:rFonts w:ascii="Calibri" w:hAnsi="Calibri"/>
                <w:sz w:val="19"/>
              </w:rPr>
              <w:t>Bacteriol. Confirmation</w:t>
            </w:r>
          </w:p>
        </w:tc>
        <w:tc>
          <w:tcPr>
            <w:tcW w:type="dxa" w:w="1814"/>
            <w:shd w:val="clear" w:color="auto" w:fill="ffffff"/>
          </w:tcPr>
          <w:p>
            <w:r>
              <w:rPr>
                <w:rFonts w:ascii="Calibri" w:hAnsi="Calibri"/>
                <w:sz w:val="19"/>
              </w:rPr>
              <w:t>pbc_reg / new_cases</w:t>
            </w:r>
          </w:p>
        </w:tc>
        <w:tc>
          <w:tcPr>
            <w:tcW w:type="dxa" w:w="680"/>
            <w:shd w:val="clear" w:color="auto" w:fill="ffffff"/>
          </w:tcPr>
          <w:p>
            <w:r>
              <w:rPr>
                <w:rFonts w:ascii="Calibri" w:hAnsi="Calibri"/>
                <w:sz w:val="19"/>
              </w:rPr>
              <w:t>A</w:t>
            </w:r>
          </w:p>
        </w:tc>
        <w:tc>
          <w:tcPr>
            <w:tcW w:type="dxa" w:w="1247"/>
            <w:shd w:val="clear" w:color="auto" w:fill="ffffff"/>
          </w:tcPr>
          <w:p>
            <w:r>
              <w:rPr>
                <w:rFonts w:ascii="Calibri" w:hAnsi="Calibri"/>
                <w:sz w:val="19"/>
              </w:rPr>
              <w:t>proportion</w:t>
            </w:r>
          </w:p>
        </w:tc>
        <w:tc>
          <w:tcPr>
            <w:tcW w:type="dxa" w:w="850"/>
            <w:shd w:val="clear" w:color="auto" w:fill="ffffff"/>
          </w:tcPr>
          <w:p>
            <w:r>
              <w:rPr>
                <w:rFonts w:ascii="Calibri" w:hAnsi="Calibri"/>
                <w:sz w:val="19"/>
              </w:rPr>
              <w:t>41.1%</w:t>
            </w:r>
          </w:p>
        </w:tc>
        <w:tc>
          <w:tcPr>
            <w:tcW w:type="dxa" w:w="737"/>
            <w:shd w:val="clear" w:color="auto" w:fill="ffffff"/>
          </w:tcPr>
          <w:p>
            <w:r>
              <w:rPr>
                <w:rFonts w:ascii="Calibri" w:hAnsi="Calibri"/>
                <w:sz w:val="19"/>
              </w:rPr>
              <w:t>18.1%</w:t>
            </w:r>
          </w:p>
        </w:tc>
        <w:tc>
          <w:tcPr>
            <w:tcW w:type="dxa" w:w="737"/>
            <w:shd w:val="clear" w:color="auto" w:fill="ffffff"/>
          </w:tcPr>
          <w:p>
            <w:r>
              <w:rPr>
                <w:rFonts w:ascii="Calibri" w:hAnsi="Calibri"/>
                <w:sz w:val="19"/>
              </w:rPr>
              <w:t>75.5%</w:t>
            </w:r>
          </w:p>
        </w:tc>
      </w:tr>
      <w:tr>
        <w:tc>
          <w:tcPr>
            <w:tcW w:type="dxa" w:w="454"/>
            <w:shd w:val="clear" w:color="auto" w:fill="f9fafb"/>
          </w:tcPr>
          <w:p>
            <w:r>
              <w:rPr>
                <w:rFonts w:ascii="Calibri" w:hAnsi="Calibri"/>
                <w:sz w:val="19"/>
              </w:rPr>
              <w:t>8</w:t>
            </w:r>
          </w:p>
        </w:tc>
        <w:tc>
          <w:tcPr>
            <w:tcW w:type="dxa" w:w="2268"/>
            <w:shd w:val="clear" w:color="auto" w:fill="f9fafb"/>
          </w:tcPr>
          <w:p>
            <w:r>
              <w:rPr>
                <w:rFonts w:ascii="Calibri" w:hAnsi="Calibri"/>
                <w:sz w:val="19"/>
              </w:rPr>
              <w:t>TB-HIV Co-infection</w:t>
            </w:r>
          </w:p>
        </w:tc>
        <w:tc>
          <w:tcPr>
            <w:tcW w:type="dxa" w:w="1814"/>
            <w:shd w:val="clear" w:color="auto" w:fill="f9fafb"/>
          </w:tcPr>
          <w:p>
            <w:r>
              <w:rPr>
                <w:rFonts w:ascii="Calibri" w:hAnsi="Calibri"/>
                <w:sz w:val="19"/>
              </w:rPr>
              <w:t>hiv+ / new_cases</w:t>
            </w:r>
          </w:p>
        </w:tc>
        <w:tc>
          <w:tcPr>
            <w:tcW w:type="dxa" w:w="680"/>
            <w:shd w:val="clear" w:color="auto" w:fill="f9fafb"/>
          </w:tcPr>
          <w:p>
            <w:r>
              <w:rPr>
                <w:rFonts w:ascii="Calibri" w:hAnsi="Calibri"/>
                <w:sz w:val="19"/>
              </w:rPr>
              <w:t>A</w:t>
            </w:r>
          </w:p>
        </w:tc>
        <w:tc>
          <w:tcPr>
            <w:tcW w:type="dxa" w:w="1247"/>
            <w:shd w:val="clear" w:color="auto" w:fill="f9fafb"/>
          </w:tcPr>
          <w:p>
            <w:r>
              <w:rPr>
                <w:rFonts w:ascii="Calibri" w:hAnsi="Calibri"/>
                <w:sz w:val="19"/>
              </w:rPr>
              <w:t>proportion</w:t>
            </w:r>
          </w:p>
        </w:tc>
        <w:tc>
          <w:tcPr>
            <w:tcW w:type="dxa" w:w="850"/>
            <w:shd w:val="clear" w:color="auto" w:fill="f9fafb"/>
          </w:tcPr>
          <w:p>
            <w:r>
              <w:rPr>
                <w:rFonts w:ascii="Calibri" w:hAnsi="Calibri"/>
                <w:sz w:val="19"/>
              </w:rPr>
              <w:t>0.9%</w:t>
            </w:r>
          </w:p>
        </w:tc>
        <w:tc>
          <w:tcPr>
            <w:tcW w:type="dxa" w:w="737"/>
            <w:shd w:val="clear" w:color="auto" w:fill="f9fafb"/>
          </w:tcPr>
          <w:p>
            <w:r>
              <w:rPr>
                <w:rFonts w:ascii="Calibri" w:hAnsi="Calibri"/>
                <w:sz w:val="19"/>
              </w:rPr>
              <w:t>0.0%</w:t>
            </w:r>
          </w:p>
        </w:tc>
        <w:tc>
          <w:tcPr>
            <w:tcW w:type="dxa" w:w="737"/>
            <w:shd w:val="clear" w:color="auto" w:fill="f9fafb"/>
          </w:tcPr>
          <w:p>
            <w:r>
              <w:rPr>
                <w:rFonts w:ascii="Calibri" w:hAnsi="Calibri"/>
                <w:sz w:val="19"/>
              </w:rPr>
              <w:t>3.8%</w:t>
            </w:r>
          </w:p>
        </w:tc>
      </w:tr>
      <w:tr>
        <w:tc>
          <w:tcPr>
            <w:tcW w:type="dxa" w:w="454"/>
            <w:shd w:val="clear" w:color="auto" w:fill="ffffff"/>
          </w:tcPr>
          <w:p>
            <w:r>
              <w:rPr>
                <w:rFonts w:ascii="Calibri" w:hAnsi="Calibri"/>
                <w:sz w:val="19"/>
              </w:rPr>
              <w:t>9</w:t>
            </w:r>
          </w:p>
        </w:tc>
        <w:tc>
          <w:tcPr>
            <w:tcW w:type="dxa" w:w="2268"/>
            <w:shd w:val="clear" w:color="auto" w:fill="ffffff"/>
          </w:tcPr>
          <w:p>
            <w:r>
              <w:rPr>
                <w:rFonts w:ascii="Calibri" w:hAnsi="Calibri"/>
                <w:sz w:val="19"/>
              </w:rPr>
              <w:t>M:F Ratio</w:t>
            </w:r>
          </w:p>
        </w:tc>
        <w:tc>
          <w:tcPr>
            <w:tcW w:type="dxa" w:w="1814"/>
            <w:shd w:val="clear" w:color="auto" w:fill="ffffff"/>
          </w:tcPr>
          <w:p>
            <w:r>
              <w:rPr>
                <w:rFonts w:ascii="Calibri" w:hAnsi="Calibri"/>
                <w:sz w:val="19"/>
              </w:rPr>
              <w:t>new_male / new_female</w:t>
            </w:r>
          </w:p>
        </w:tc>
        <w:tc>
          <w:tcPr>
            <w:tcW w:type="dxa" w:w="680"/>
            <w:shd w:val="clear" w:color="auto" w:fill="ffffff"/>
          </w:tcPr>
          <w:p>
            <w:r>
              <w:rPr>
                <w:rFonts w:ascii="Calibri" w:hAnsi="Calibri"/>
                <w:sz w:val="19"/>
              </w:rPr>
              <w:t>B</w:t>
            </w:r>
          </w:p>
        </w:tc>
        <w:tc>
          <w:tcPr>
            <w:tcW w:type="dxa" w:w="1247"/>
            <w:shd w:val="clear" w:color="auto" w:fill="ffffff"/>
          </w:tcPr>
          <w:p>
            <w:r>
              <w:rPr>
                <w:rFonts w:ascii="Calibri" w:hAnsi="Calibri"/>
                <w:sz w:val="19"/>
              </w:rPr>
              <w:t>ratio</w:t>
            </w:r>
          </w:p>
        </w:tc>
        <w:tc>
          <w:tcPr>
            <w:tcW w:type="dxa" w:w="850"/>
            <w:shd w:val="clear" w:color="auto" w:fill="ffffff"/>
          </w:tcPr>
          <w:p>
            <w:r>
              <w:rPr>
                <w:rFonts w:ascii="Calibri" w:hAnsi="Calibri"/>
                <w:sz w:val="19"/>
              </w:rPr>
              <w:t>1.19</w:t>
            </w:r>
          </w:p>
        </w:tc>
        <w:tc>
          <w:tcPr>
            <w:tcW w:type="dxa" w:w="737"/>
            <w:shd w:val="clear" w:color="auto" w:fill="ffffff"/>
          </w:tcPr>
          <w:p>
            <w:r>
              <w:rPr>
                <w:rFonts w:ascii="Calibri" w:hAnsi="Calibri"/>
                <w:sz w:val="19"/>
              </w:rPr>
              <w:t>0.76</w:t>
            </w:r>
          </w:p>
        </w:tc>
        <w:tc>
          <w:tcPr>
            <w:tcW w:type="dxa" w:w="737"/>
            <w:shd w:val="clear" w:color="auto" w:fill="ffffff"/>
          </w:tcPr>
          <w:p>
            <w:r>
              <w:rPr>
                <w:rFonts w:ascii="Calibri" w:hAnsi="Calibri"/>
                <w:sz w:val="19"/>
              </w:rPr>
              <w:t>1.78</w:t>
            </w:r>
          </w:p>
        </w:tc>
      </w:tr>
      <w:tr>
        <w:tc>
          <w:tcPr>
            <w:tcW w:type="dxa" w:w="454"/>
            <w:shd w:val="clear" w:color="auto" w:fill="f9fafb"/>
          </w:tcPr>
          <w:p>
            <w:r>
              <w:rPr>
                <w:rFonts w:ascii="Calibri" w:hAnsi="Calibri"/>
                <w:sz w:val="19"/>
              </w:rPr>
              <w:t>10</w:t>
            </w:r>
          </w:p>
        </w:tc>
        <w:tc>
          <w:tcPr>
            <w:tcW w:type="dxa" w:w="2268"/>
            <w:shd w:val="clear" w:color="auto" w:fill="f9fafb"/>
          </w:tcPr>
          <w:p>
            <w:r>
              <w:rPr>
                <w:rFonts w:ascii="Calibri" w:hAnsi="Calibri"/>
                <w:sz w:val="19"/>
              </w:rPr>
              <w:t>Relapse Proportion</w:t>
            </w:r>
          </w:p>
        </w:tc>
        <w:tc>
          <w:tcPr>
            <w:tcW w:type="dxa" w:w="1814"/>
            <w:shd w:val="clear" w:color="auto" w:fill="f9fafb"/>
          </w:tcPr>
          <w:p>
            <w:r>
              <w:rPr>
                <w:rFonts w:ascii="Calibri" w:hAnsi="Calibri"/>
                <w:sz w:val="19"/>
              </w:rPr>
              <w:t>relapse / (new+relapse)</w:t>
            </w:r>
          </w:p>
        </w:tc>
        <w:tc>
          <w:tcPr>
            <w:tcW w:type="dxa" w:w="680"/>
            <w:shd w:val="clear" w:color="auto" w:fill="f9fafb"/>
          </w:tcPr>
          <w:p>
            <w:r>
              <w:rPr>
                <w:rFonts w:ascii="Calibri" w:hAnsi="Calibri"/>
                <w:sz w:val="19"/>
              </w:rPr>
              <w:t>B</w:t>
            </w:r>
          </w:p>
        </w:tc>
        <w:tc>
          <w:tcPr>
            <w:tcW w:type="dxa" w:w="1247"/>
            <w:shd w:val="clear" w:color="auto" w:fill="f9fafb"/>
          </w:tcPr>
          <w:p>
            <w:r>
              <w:rPr>
                <w:rFonts w:ascii="Calibri" w:hAnsi="Calibri"/>
                <w:sz w:val="19"/>
              </w:rPr>
              <w:t>proportion</w:t>
            </w:r>
          </w:p>
        </w:tc>
        <w:tc>
          <w:tcPr>
            <w:tcW w:type="dxa" w:w="850"/>
            <w:shd w:val="clear" w:color="auto" w:fill="f9fafb"/>
          </w:tcPr>
          <w:p>
            <w:r>
              <w:rPr>
                <w:rFonts w:ascii="Calibri" w:hAnsi="Calibri"/>
                <w:sz w:val="19"/>
              </w:rPr>
              <w:t>5.8%</w:t>
            </w:r>
          </w:p>
        </w:tc>
        <w:tc>
          <w:tcPr>
            <w:tcW w:type="dxa" w:w="737"/>
            <w:shd w:val="clear" w:color="auto" w:fill="f9fafb"/>
          </w:tcPr>
          <w:p>
            <w:r>
              <w:rPr>
                <w:rFonts w:ascii="Calibri" w:hAnsi="Calibri"/>
                <w:sz w:val="19"/>
              </w:rPr>
              <w:t>2.6%</w:t>
            </w:r>
          </w:p>
        </w:tc>
        <w:tc>
          <w:tcPr>
            <w:tcW w:type="dxa" w:w="737"/>
            <w:shd w:val="clear" w:color="auto" w:fill="f9fafb"/>
          </w:tcPr>
          <w:p>
            <w:r>
              <w:rPr>
                <w:rFonts w:ascii="Calibri" w:hAnsi="Calibri"/>
                <w:sz w:val="19"/>
              </w:rPr>
              <w:t>12.1%</w:t>
            </w:r>
          </w:p>
        </w:tc>
      </w:tr>
      <w:tr>
        <w:tc>
          <w:tcPr>
            <w:tcW w:type="dxa" w:w="454"/>
            <w:shd w:val="clear" w:color="auto" w:fill="ffffff"/>
          </w:tcPr>
          <w:p>
            <w:r>
              <w:rPr>
                <w:rFonts w:ascii="Calibri" w:hAnsi="Calibri"/>
                <w:sz w:val="19"/>
              </w:rPr>
              <w:t>11–18</w:t>
            </w:r>
          </w:p>
        </w:tc>
        <w:tc>
          <w:tcPr>
            <w:tcW w:type="dxa" w:w="2268"/>
            <w:shd w:val="clear" w:color="auto" w:fill="ffffff"/>
          </w:tcPr>
          <w:p>
            <w:r>
              <w:rPr>
                <w:rFonts w:ascii="Calibri" w:hAnsi="Calibri"/>
                <w:sz w:val="19"/>
              </w:rPr>
              <w:t>Age Group Proportions</w:t>
            </w:r>
          </w:p>
        </w:tc>
        <w:tc>
          <w:tcPr>
            <w:tcW w:type="dxa" w:w="1814"/>
            <w:shd w:val="clear" w:color="auto" w:fill="ffffff"/>
          </w:tcPr>
          <w:p>
            <w:r>
              <w:rPr>
                <w:rFonts w:ascii="Calibri" w:hAnsi="Calibri"/>
                <w:sz w:val="19"/>
              </w:rPr>
              <w:t>age_grp / new_cases</w:t>
            </w:r>
          </w:p>
        </w:tc>
        <w:tc>
          <w:tcPr>
            <w:tcW w:type="dxa" w:w="680"/>
            <w:shd w:val="clear" w:color="auto" w:fill="ffffff"/>
          </w:tcPr>
          <w:p>
            <w:r>
              <w:rPr>
                <w:rFonts w:ascii="Calibri" w:hAnsi="Calibri"/>
                <w:sz w:val="19"/>
              </w:rPr>
              <w:t>B</w:t>
            </w:r>
          </w:p>
        </w:tc>
        <w:tc>
          <w:tcPr>
            <w:tcW w:type="dxa" w:w="1247"/>
            <w:shd w:val="clear" w:color="auto" w:fill="ffffff"/>
          </w:tcPr>
          <w:p>
            <w:r>
              <w:rPr>
                <w:rFonts w:ascii="Calibri" w:hAnsi="Calibri"/>
                <w:sz w:val="19"/>
              </w:rPr>
              <w:t>proportion</w:t>
            </w:r>
          </w:p>
        </w:tc>
        <w:tc>
          <w:tcPr>
            <w:tcW w:type="dxa" w:w="850"/>
            <w:shd w:val="clear" w:color="auto" w:fill="ffffff"/>
          </w:tcPr>
          <w:p>
            <w:r>
              <w:rPr>
                <w:rFonts w:ascii="Calibri" w:hAnsi="Calibri"/>
                <w:sz w:val="19"/>
              </w:rPr>
              <w:t>varies</w:t>
            </w:r>
          </w:p>
        </w:tc>
        <w:tc>
          <w:tcPr>
            <w:tcW w:type="dxa" w:w="737"/>
            <w:shd w:val="clear" w:color="auto" w:fill="ffffff"/>
          </w:tcPr>
          <w:p>
            <w:r>
              <w:rPr>
                <w:rFonts w:ascii="Calibri" w:hAnsi="Calibri"/>
                <w:sz w:val="19"/>
              </w:rPr>
              <w:t>—</w:t>
            </w:r>
          </w:p>
        </w:tc>
        <w:tc>
          <w:tcPr>
            <w:tcW w:type="dxa" w:w="737"/>
            <w:shd w:val="clear" w:color="auto" w:fill="ffffff"/>
          </w:tcPr>
          <w:p>
            <w:r>
              <w:rPr>
                <w:rFonts w:ascii="Calibri" w:hAnsi="Calibri"/>
                <w:sz w:val="19"/>
              </w:rPr>
              <w:t>—</w:t>
            </w:r>
          </w:p>
        </w:tc>
      </w:tr>
    </w:tbl>
    <w:p/>
    <w:p>
      <w:pPr>
        <w:pStyle w:val="Heading2"/>
      </w:pPr>
      <w:r>
        <w:t>3.2  Indicator Distributions</w:t>
      </w:r>
    </w:p>
    <w:p>
      <w:pPr>
        <w:jc w:val="center"/>
      </w:pPr>
      <w:r>
        <w:drawing>
          <wp:inline xmlns:a="http://schemas.openxmlformats.org/drawingml/2006/main" xmlns:pic="http://schemas.openxmlformats.org/drawingml/2006/picture">
            <wp:extent cx="5486400" cy="3135086"/>
            <wp:docPr id="7" name="Picture 7"/>
            <wp:cNvGraphicFramePr>
              <a:graphicFrameLocks noChangeAspect="1"/>
            </wp:cNvGraphicFramePr>
            <a:graphic>
              <a:graphicData uri="http://schemas.openxmlformats.org/drawingml/2006/picture">
                <pic:pic>
                  <pic:nvPicPr>
                    <pic:cNvPr id="0" name="chart_007.png"/>
                    <pic:cNvPicPr/>
                  </pic:nvPicPr>
                  <pic:blipFill>
                    <a:blip r:embed="rId15"/>
                    <a:stretch>
                      <a:fillRect/>
                    </a:stretch>
                  </pic:blipFill>
                  <pic:spPr>
                    <a:xfrm>
                      <a:off x="0" y="0"/>
                      <a:ext cx="5486400" cy="3135086"/>
                    </a:xfrm>
                    <a:prstGeom prst="rect"/>
                  </pic:spPr>
                </pic:pic>
              </a:graphicData>
            </a:graphic>
          </wp:inline>
        </w:drawing>
      </w:r>
    </w:p>
    <w:p>
      <w:pPr>
        <w:spacing w:before="40" w:after="160"/>
        <w:jc w:val="center"/>
      </w:pPr>
      <w:r>
        <w:rPr>
          <w:i/>
          <w:color w:val="6B7280"/>
          <w:sz w:val="18"/>
        </w:rPr>
        <w:t>Figure 3.1 — Frequency histograms for 6 core outcome indicators (60 months)</w:t>
      </w:r>
    </w:p>
    <w:p>
      <w:pPr>
        <w:pStyle w:val="Heading2"/>
      </w:pPr>
      <w:r>
        <w:t>3.3  Notification Rate Analysis</w:t>
      </w:r>
    </w:p>
    <w:p>
      <w:pPr>
        <w:spacing w:before="0" w:after="120"/>
        <w:jc w:val="left"/>
      </w:pPr>
      <w:r>
        <w:rPr>
          <w:rFonts w:ascii="Calibri" w:hAnsi="Calibri"/>
          <w:b w:val="0"/>
          <w:i w:val="0"/>
        </w:rPr>
        <w:t>The annualised notification rate is the primary population-level measure of TB burden. It is computed monthly as: (new_cases_total × 12) / district_pop × 100,000. Multiplying by 12 annualises the single-month count for comparability with annual WHO and NTP benchmarks. The NTP expects 100–200/100,000 for urban districts in Bagmati Province. All 57 complete months fall within this range except for 3 months with unusually high case counts (&gt;200), which are epidemiologically plausible peaks, not errors.</w:t>
      </w:r>
    </w:p>
    <w:p>
      <w:pPr>
        <w:jc w:val="center"/>
      </w:pPr>
      <w:r>
        <w:drawing>
          <wp:inline xmlns:a="http://schemas.openxmlformats.org/drawingml/2006/main" xmlns:pic="http://schemas.openxmlformats.org/drawingml/2006/picture">
            <wp:extent cx="5486400" cy="2743200"/>
            <wp:docPr id="8" name="Picture 8"/>
            <wp:cNvGraphicFramePr>
              <a:graphicFrameLocks noChangeAspect="1"/>
            </wp:cNvGraphicFramePr>
            <a:graphic>
              <a:graphicData uri="http://schemas.openxmlformats.org/drawingml/2006/picture">
                <pic:pic>
                  <pic:nvPicPr>
                    <pic:cNvPr id="0" name="chart_008.png"/>
                    <pic:cNvPicPr/>
                  </pic:nvPicPr>
                  <pic:blipFill>
                    <a:blip r:embed="rId16"/>
                    <a:stretch>
                      <a:fillRect/>
                    </a:stretch>
                  </pic:blipFill>
                  <pic:spPr>
                    <a:xfrm>
                      <a:off x="0" y="0"/>
                      <a:ext cx="5486400" cy="2743200"/>
                    </a:xfrm>
                    <a:prstGeom prst="rect"/>
                  </pic:spPr>
                </pic:pic>
              </a:graphicData>
            </a:graphic>
          </wp:inline>
        </w:drawing>
      </w:r>
    </w:p>
    <w:p>
      <w:pPr>
        <w:spacing w:before="40" w:after="160"/>
        <w:jc w:val="center"/>
      </w:pPr>
      <w:r>
        <w:rPr>
          <w:i/>
          <w:color w:val="6B7280"/>
          <w:sz w:val="18"/>
        </w:rPr>
        <w:t>Figure 3.2 — Monthly annualised notification rate by BS year; green band = NTP expected 100–200/100k</w:t>
      </w:r>
    </w:p>
    <w:p>
      <w:pPr>
        <w:pStyle w:val="Heading2"/>
      </w:pPr>
      <w:r>
        <w:t>3.4  Year × Month Notification Heatmap</w:t>
      </w:r>
    </w:p>
    <w:p>
      <w:pPr>
        <w:spacing w:before="0" w:after="120"/>
        <w:jc w:val="left"/>
      </w:pPr>
      <w:r>
        <w:rPr>
          <w:rFonts w:ascii="Calibri" w:hAnsi="Calibri"/>
          <w:b w:val="0"/>
          <w:i w:val="0"/>
        </w:rPr>
        <w:t>The heatmap below provides a compact 5-year × 12-month view of new TB case counts, allowing identification of seasonal peaks and year-over-year variation at a glance.</w:t>
      </w:r>
    </w:p>
    <w:p>
      <w:pPr>
        <w:jc w:val="center"/>
      </w:pPr>
      <w:r>
        <w:drawing>
          <wp:inline xmlns:a="http://schemas.openxmlformats.org/drawingml/2006/main" xmlns:pic="http://schemas.openxmlformats.org/drawingml/2006/picture">
            <wp:extent cx="5486400" cy="2351314"/>
            <wp:docPr id="9" name="Picture 9"/>
            <wp:cNvGraphicFramePr>
              <a:graphicFrameLocks noChangeAspect="1"/>
            </wp:cNvGraphicFramePr>
            <a:graphic>
              <a:graphicData uri="http://schemas.openxmlformats.org/drawingml/2006/picture">
                <pic:pic>
                  <pic:nvPicPr>
                    <pic:cNvPr id="0" name="chart_009.png"/>
                    <pic:cNvPicPr/>
                  </pic:nvPicPr>
                  <pic:blipFill>
                    <a:blip r:embed="rId17"/>
                    <a:stretch>
                      <a:fillRect/>
                    </a:stretch>
                  </pic:blipFill>
                  <pic:spPr>
                    <a:xfrm>
                      <a:off x="0" y="0"/>
                      <a:ext cx="5486400" cy="2351314"/>
                    </a:xfrm>
                    <a:prstGeom prst="rect"/>
                  </pic:spPr>
                </pic:pic>
              </a:graphicData>
            </a:graphic>
          </wp:inline>
        </w:drawing>
      </w:r>
    </w:p>
    <w:p>
      <w:pPr>
        <w:spacing w:before="40" w:after="160"/>
        <w:jc w:val="center"/>
      </w:pPr>
      <w:r>
        <w:rPr>
          <w:i/>
          <w:color w:val="6B7280"/>
          <w:sz w:val="18"/>
        </w:rPr>
        <w:t>Figure 3.3 — Year × month heatmap of new TB cases</w:t>
      </w:r>
    </w:p>
    <w:p>
      <w:pPr>
        <w:pStyle w:val="Heading2"/>
      </w:pPr>
      <w:r>
        <w:t>3.5  Treatment Success Rate Trend</w:t>
      </w:r>
    </w:p>
    <w:p>
      <w:pPr>
        <w:spacing w:before="0" w:after="120"/>
        <w:jc w:val="left"/>
      </w:pPr>
      <w:r>
        <w:rPr>
          <w:rFonts w:ascii="Calibri" w:hAnsi="Calibri"/>
          <w:b w:val="0"/>
          <w:i w:val="0"/>
        </w:rPr>
        <w:t>TSR is the most important treatment programme performance indicator. A value ≥85% indicates an effective treatment programme. Kathmandu achieves this threshold in BS 2080 (87.1%) and BS 2081 (85.9%), indicating improving programme quality. The 6-month rolling average smooths the month-to-month variability driven by small cohort sizes in some months.</w:t>
      </w:r>
    </w:p>
    <w:p>
      <w:pPr>
        <w:jc w:val="center"/>
      </w:pPr>
      <w:r>
        <w:drawing>
          <wp:inline xmlns:a="http://schemas.openxmlformats.org/drawingml/2006/main" xmlns:pic="http://schemas.openxmlformats.org/drawingml/2006/picture">
            <wp:extent cx="5486400" cy="2664823"/>
            <wp:docPr id="10" name="Picture 10"/>
            <wp:cNvGraphicFramePr>
              <a:graphicFrameLocks noChangeAspect="1"/>
            </wp:cNvGraphicFramePr>
            <a:graphic>
              <a:graphicData uri="http://schemas.openxmlformats.org/drawingml/2006/picture">
                <pic:pic>
                  <pic:nvPicPr>
                    <pic:cNvPr id="0" name="chart_010.png"/>
                    <pic:cNvPicPr/>
                  </pic:nvPicPr>
                  <pic:blipFill>
                    <a:blip r:embed="rId18"/>
                    <a:stretch>
                      <a:fillRect/>
                    </a:stretch>
                  </pic:blipFill>
                  <pic:spPr>
                    <a:xfrm>
                      <a:off x="0" y="0"/>
                      <a:ext cx="5486400" cy="2664823"/>
                    </a:xfrm>
                    <a:prstGeom prst="rect"/>
                  </pic:spPr>
                </pic:pic>
              </a:graphicData>
            </a:graphic>
          </wp:inline>
        </w:drawing>
      </w:r>
    </w:p>
    <w:p>
      <w:pPr>
        <w:spacing w:before="40" w:after="160"/>
        <w:jc w:val="center"/>
      </w:pPr>
      <w:r>
        <w:rPr>
          <w:i/>
          <w:color w:val="6B7280"/>
          <w:sz w:val="18"/>
        </w:rPr>
        <w:t>Figure 3.4 — Monthly TSR with 6-month rolling average</w:t>
      </w:r>
    </w:p>
    <w:p>
      <w:pPr>
        <w:pStyle w:val="Heading2"/>
      </w:pPr>
      <w:r>
        <w:t>3.6  Cumulative Case Trajectory</w:t>
      </w:r>
    </w:p>
    <w:p>
      <w:pPr>
        <w:jc w:val="center"/>
      </w:pPr>
      <w:r>
        <w:drawing>
          <wp:inline xmlns:a="http://schemas.openxmlformats.org/drawingml/2006/main" xmlns:pic="http://schemas.openxmlformats.org/drawingml/2006/picture">
            <wp:extent cx="5486400" cy="2351314"/>
            <wp:docPr id="11" name="Picture 11"/>
            <wp:cNvGraphicFramePr>
              <a:graphicFrameLocks noChangeAspect="1"/>
            </wp:cNvGraphicFramePr>
            <a:graphic>
              <a:graphicData uri="http://schemas.openxmlformats.org/drawingml/2006/picture">
                <pic:pic>
                  <pic:nvPicPr>
                    <pic:cNvPr id="0" name="chart_011.png"/>
                    <pic:cNvPicPr/>
                  </pic:nvPicPr>
                  <pic:blipFill>
                    <a:blip r:embed="rId19"/>
                    <a:stretch>
                      <a:fillRect/>
                    </a:stretch>
                  </pic:blipFill>
                  <pic:spPr>
                    <a:xfrm>
                      <a:off x="0" y="0"/>
                      <a:ext cx="5486400" cy="2351314"/>
                    </a:xfrm>
                    <a:prstGeom prst="rect"/>
                  </pic:spPr>
                </pic:pic>
              </a:graphicData>
            </a:graphic>
          </wp:inline>
        </w:drawing>
      </w:r>
    </w:p>
    <w:p>
      <w:pPr>
        <w:spacing w:before="40" w:after="160"/>
        <w:jc w:val="center"/>
      </w:pPr>
      <w:r>
        <w:rPr>
          <w:i/>
          <w:color w:val="6B7280"/>
          <w:sz w:val="18"/>
        </w:rPr>
        <w:t>Figure 3.5 — Cumulative new TB cases across the 60-month study period</w:t>
      </w:r>
    </w:p>
    <w:p>
      <w:pPr>
        <w:pStyle w:val="Heading2"/>
      </w:pPr>
      <w:r>
        <w:t>3.7  Indicator Correlation Analysis</w:t>
      </w:r>
    </w:p>
    <w:p>
      <w:pPr>
        <w:spacing w:before="0" w:after="120"/>
        <w:jc w:val="left"/>
      </w:pPr>
      <w:r>
        <w:rPr>
          <w:rFonts w:ascii="Calibri" w:hAnsi="Calibri"/>
          <w:b w:val="0"/>
          <w:i w:val="0"/>
        </w:rPr>
        <w:t>The correlation matrix below reveals relationships between the core rate indicators. Notable: TSR and mortality rate are moderately negatively correlated (-0.31), consistent with expectation — months with higher treatment success have lower mortality. LTFU and not-evaluated rate show positive correlation, reflecting months with programme administration challenges.</w:t>
      </w:r>
    </w:p>
    <w:p>
      <w:pPr>
        <w:jc w:val="center"/>
      </w:pPr>
      <w:r>
        <w:drawing>
          <wp:inline xmlns:a="http://schemas.openxmlformats.org/drawingml/2006/main" xmlns:pic="http://schemas.openxmlformats.org/drawingml/2006/picture">
            <wp:extent cx="5029200" cy="2586446"/>
            <wp:docPr id="12" name="Picture 12"/>
            <wp:cNvGraphicFramePr>
              <a:graphicFrameLocks noChangeAspect="1"/>
            </wp:cNvGraphicFramePr>
            <a:graphic>
              <a:graphicData uri="http://schemas.openxmlformats.org/drawingml/2006/picture">
                <pic:pic>
                  <pic:nvPicPr>
                    <pic:cNvPr id="0" name="chart_012.png"/>
                    <pic:cNvPicPr/>
                  </pic:nvPicPr>
                  <pic:blipFill>
                    <a:blip r:embed="rId20"/>
                    <a:stretch>
                      <a:fillRect/>
                    </a:stretch>
                  </pic:blipFill>
                  <pic:spPr>
                    <a:xfrm>
                      <a:off x="0" y="0"/>
                      <a:ext cx="5029200" cy="2586446"/>
                    </a:xfrm>
                    <a:prstGeom prst="rect"/>
                  </pic:spPr>
                </pic:pic>
              </a:graphicData>
            </a:graphic>
          </wp:inline>
        </w:drawing>
      </w:r>
    </w:p>
    <w:p>
      <w:pPr>
        <w:spacing w:before="40" w:after="160"/>
        <w:jc w:val="center"/>
      </w:pPr>
      <w:r>
        <w:rPr>
          <w:i/>
          <w:color w:val="6B7280"/>
          <w:sz w:val="18"/>
        </w:rPr>
        <w:t>Figure 3.6 — Indicator correlation matrix (Pearson r, 57 months)</w:t>
      </w:r>
    </w:p>
    <w:p>
      <w:r>
        <w:br w:type="page"/>
      </w:r>
    </w:p>
    <w:p>
      <w:pPr>
        <w:pStyle w:val="Heading1"/>
      </w:pPr>
      <w:r>
        <w:t>Phase 4 — FHIR Transformation &amp; Extension Engineering</w:t>
      </w:r>
    </w:p>
    <w:tbl>
      <w:tblPr>
        <w:tblStyle w:val="TableGrid"/>
        <w:tblW w:type="auto" w:w="0"/>
        <w:jc w:val="center"/>
        <w:tblLook w:firstColumn="1" w:firstRow="1" w:lastColumn="0" w:lastRow="0" w:noHBand="0" w:noVBand="1" w:val="04A0"/>
      </w:tblPr>
      <w:tblGrid>
        <w:gridCol w:w="9072"/>
      </w:tblGrid>
      <w:tr>
        <w:tc>
          <w:tcPr>
            <w:tcW w:type="dxa" w:w="9072"/>
            <w:shd w:val="clear" w:color="auto" w:fill="eff6ff"/>
          </w:tcPr>
          <w:p>
            <w:pPr>
              <w:spacing w:before="80" w:after="80"/>
            </w:pPr>
            <w:r>
              <w:rPr>
                <w:b/>
                <w:color w:val="1C3761"/>
                <w:sz w:val="22"/>
              </w:rPr>
              <w:t>PHASE 4  —  FHIR Transformation &amp; Extension Engineering</w:t>
              <w:br/>
            </w:r>
            <w:r>
              <w:rPr>
                <w:b/>
                <w:color w:val="1C3761"/>
                <w:sz w:val="19"/>
              </w:rPr>
              <w:t xml:space="preserve">Objective: </w:t>
            </w:r>
            <w:r>
              <w:rPr>
                <w:color w:val="374151"/>
                <w:sz w:val="19"/>
              </w:rPr>
              <w:t>Encode all 60 months × 32 variables as HL7 FHIR R4 MeasureReport resources with full DAR support.</w:t>
              <w:br/>
            </w:r>
            <w:r>
              <w:rPr>
                <w:b/>
                <w:color w:val="1C3761"/>
                <w:sz w:val="19"/>
              </w:rPr>
              <w:t xml:space="preserve">Inputs: </w:t>
            </w:r>
            <w:r>
              <w:rPr>
                <w:color w:val="374151"/>
                <w:sz w:val="19"/>
              </w:rPr>
              <w:t>data/harmonized/harmonized_tb_data.csv (60×56)</w:t>
              <w:br/>
            </w:r>
            <w:r>
              <w:rPr>
                <w:b/>
                <w:color w:val="1C3761"/>
                <w:sz w:val="19"/>
              </w:rPr>
              <w:t xml:space="preserve">Outputs: </w:t>
            </w:r>
            <w:r>
              <w:rPr>
                <w:color w:val="374151"/>
                <w:sz w:val="19"/>
              </w:rPr>
              <w:t>32 Measure JSONs, 1,920 MeasureReport JSONs, 33 Bundle files, 72 DAR annotations</w:t>
              <w:br/>
            </w:r>
            <w:r>
              <w:rPr>
                <w:b/>
                <w:color w:val="1C3761"/>
                <w:sz w:val="19"/>
              </w:rPr>
              <w:t xml:space="preserve">Scripts: </w:t>
            </w:r>
            <w:r>
              <w:rPr>
                <w:color w:val="374151"/>
                <w:sz w:val="19"/>
              </w:rPr>
              <w:t>05_fhir_measure/01_generate_fhir_measures.py, 06_measure_report/03_generate_measurereports.py</w:t>
              <w:br/>
            </w:r>
          </w:p>
        </w:tc>
      </w:tr>
    </w:tbl>
    <w:p/>
    <w:p>
      <w:pPr>
        <w:pStyle w:val="Heading2"/>
      </w:pPr>
      <w:r>
        <w:t>4.1  FHIR R4 Architecture Overview</w:t>
      </w:r>
    </w:p>
    <w:p>
      <w:pPr>
        <w:spacing w:before="0" w:after="120"/>
        <w:jc w:val="left"/>
      </w:pPr>
      <w:r>
        <w:rPr>
          <w:rFonts w:ascii="Calibri" w:hAnsi="Calibri"/>
          <w:b w:val="0"/>
          <w:i w:val="0"/>
        </w:rPr>
        <w:t>HL7 FHIR R4 (Fast Healthcare Interoperability Resources, Release 4) is the international standard for electronic health information exchange. For population-level surveillance data like TB notifications, FHIR uses the Measure / MeasureReport pattern:</w:t>
      </w:r>
    </w:p>
    <w:p>
      <w:pPr>
        <w:spacing w:before="0" w:after="120"/>
        <w:jc w:val="left"/>
      </w:pPr>
      <w:r>
        <w:rPr>
          <w:rFonts w:ascii="Calibri" w:hAnsi="Calibri"/>
          <w:b w:val="0"/>
          <w:i w:val="0"/>
        </w:rPr>
        <w:t>A Measure resource is a definitional template that describes what is being measured — the indicator name, logic expression (CQL), scoring method, and population criteria. A MeasureReport resource is a data instance that holds the actual computed results: numerator count, denominator count, and measureScore for a specific location and time period. This separation between definition and data is a core FHIR design principle that enables semantic interoperability across systems.</w:t>
      </w:r>
    </w:p>
    <w:p>
      <w:pPr>
        <w:spacing w:before="160" w:after="40"/>
      </w:pPr>
      <w:r>
        <w:rPr>
          <w:i/>
          <w:color w:val="6B7280"/>
          <w:sz w:val="18"/>
        </w:rPr>
        <w:t>Table 4.1 — FHIR Resource Hierarchy</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587"/>
            <w:shd w:val="clear" w:color="auto" w:fill="1c3761"/>
          </w:tcPr>
          <w:p>
            <w:pPr>
              <w:jc w:val="center"/>
            </w:pPr>
            <w:r>
              <w:rPr>
                <w:rFonts w:ascii="Calibri" w:hAnsi="Calibri"/>
                <w:b/>
                <w:color w:val="FFFFFF"/>
                <w:sz w:val="19"/>
              </w:rPr>
              <w:t>Resource</w:t>
            </w:r>
          </w:p>
        </w:tc>
        <w:tc>
          <w:tcPr>
            <w:tcW w:type="dxa" w:w="850"/>
            <w:shd w:val="clear" w:color="auto" w:fill="1c3761"/>
          </w:tcPr>
          <w:p>
            <w:pPr>
              <w:jc w:val="center"/>
            </w:pPr>
            <w:r>
              <w:rPr>
                <w:rFonts w:ascii="Calibri" w:hAnsi="Calibri"/>
                <w:b/>
                <w:color w:val="FFFFFF"/>
                <w:sz w:val="19"/>
              </w:rPr>
              <w:t>Count</w:t>
            </w:r>
          </w:p>
        </w:tc>
        <w:tc>
          <w:tcPr>
            <w:tcW w:type="dxa" w:w="2551"/>
            <w:shd w:val="clear" w:color="auto" w:fill="1c3761"/>
          </w:tcPr>
          <w:p>
            <w:pPr>
              <w:jc w:val="center"/>
            </w:pPr>
            <w:r>
              <w:rPr>
                <w:rFonts w:ascii="Calibri" w:hAnsi="Calibri"/>
                <w:b/>
                <w:color w:val="FFFFFF"/>
                <w:sz w:val="19"/>
              </w:rPr>
              <w:t>Role in Architecture</w:t>
            </w:r>
          </w:p>
        </w:tc>
        <w:tc>
          <w:tcPr>
            <w:tcW w:type="dxa" w:w="4195"/>
            <w:shd w:val="clear" w:color="auto" w:fill="1c3761"/>
          </w:tcPr>
          <w:p>
            <w:pPr>
              <w:jc w:val="center"/>
            </w:pPr>
            <w:r>
              <w:rPr>
                <w:rFonts w:ascii="Calibri" w:hAnsi="Calibri"/>
                <w:b/>
                <w:color w:val="FFFFFF"/>
                <w:sz w:val="19"/>
              </w:rPr>
              <w:t>Key FHIR Fields</w:t>
            </w:r>
          </w:p>
        </w:tc>
      </w:tr>
      <w:tr>
        <w:tc>
          <w:tcPr>
            <w:tcW w:type="dxa" w:w="1587"/>
            <w:shd w:val="clear" w:color="auto" w:fill="ffffff"/>
          </w:tcPr>
          <w:p>
            <w:r>
              <w:rPr>
                <w:rFonts w:ascii="Calibri" w:hAnsi="Calibri"/>
                <w:sz w:val="19"/>
              </w:rPr>
              <w:t>Measure</w:t>
            </w:r>
          </w:p>
        </w:tc>
        <w:tc>
          <w:tcPr>
            <w:tcW w:type="dxa" w:w="850"/>
            <w:shd w:val="clear" w:color="auto" w:fill="ffffff"/>
          </w:tcPr>
          <w:p>
            <w:r>
              <w:rPr>
                <w:rFonts w:ascii="Calibri" w:hAnsi="Calibri"/>
                <w:sz w:val="19"/>
              </w:rPr>
              <w:t>32</w:t>
            </w:r>
          </w:p>
        </w:tc>
        <w:tc>
          <w:tcPr>
            <w:tcW w:type="dxa" w:w="2551"/>
            <w:shd w:val="clear" w:color="auto" w:fill="ffffff"/>
          </w:tcPr>
          <w:p>
            <w:r>
              <w:rPr>
                <w:rFonts w:ascii="Calibri" w:hAnsi="Calibri"/>
                <w:sz w:val="19"/>
              </w:rPr>
              <w:t>Indicator definition template</w:t>
            </w:r>
          </w:p>
        </w:tc>
        <w:tc>
          <w:tcPr>
            <w:tcW w:type="dxa" w:w="4195"/>
            <w:shd w:val="clear" w:color="auto" w:fill="ffffff"/>
          </w:tcPr>
          <w:p>
            <w:r>
              <w:rPr>
                <w:rFonts w:ascii="Calibri" w:hAnsi="Calibri"/>
                <w:sz w:val="19"/>
              </w:rPr>
              <w:t>url, identifier, version, scoring, group.population.criteria</w:t>
            </w:r>
          </w:p>
        </w:tc>
      </w:tr>
      <w:tr>
        <w:tc>
          <w:tcPr>
            <w:tcW w:type="dxa" w:w="1587"/>
            <w:shd w:val="clear" w:color="auto" w:fill="f9fafb"/>
          </w:tcPr>
          <w:p>
            <w:r>
              <w:rPr>
                <w:rFonts w:ascii="Calibri" w:hAnsi="Calibri"/>
                <w:sz w:val="19"/>
              </w:rPr>
              <w:t>MeasureReport</w:t>
            </w:r>
          </w:p>
        </w:tc>
        <w:tc>
          <w:tcPr>
            <w:tcW w:type="dxa" w:w="850"/>
            <w:shd w:val="clear" w:color="auto" w:fill="f9fafb"/>
          </w:tcPr>
          <w:p>
            <w:r>
              <w:rPr>
                <w:rFonts w:ascii="Calibri" w:hAnsi="Calibri"/>
                <w:sz w:val="19"/>
              </w:rPr>
              <w:t>1,920</w:t>
            </w:r>
          </w:p>
        </w:tc>
        <w:tc>
          <w:tcPr>
            <w:tcW w:type="dxa" w:w="2551"/>
            <w:shd w:val="clear" w:color="auto" w:fill="f9fafb"/>
          </w:tcPr>
          <w:p>
            <w:r>
              <w:rPr>
                <w:rFonts w:ascii="Calibri" w:hAnsi="Calibri"/>
                <w:sz w:val="19"/>
              </w:rPr>
              <w:t>Data instance (1 var × 1 month)</w:t>
            </w:r>
          </w:p>
        </w:tc>
        <w:tc>
          <w:tcPr>
            <w:tcW w:type="dxa" w:w="4195"/>
            <w:shd w:val="clear" w:color="auto" w:fill="f9fafb"/>
          </w:tcPr>
          <w:p>
            <w:r>
              <w:rPr>
                <w:rFonts w:ascii="Calibri" w:hAnsi="Calibri"/>
                <w:sz w:val="19"/>
              </w:rPr>
              <w:t>measure, period, subject, reporter, group.count, measureScore</w:t>
            </w:r>
          </w:p>
        </w:tc>
      </w:tr>
      <w:tr>
        <w:tc>
          <w:tcPr>
            <w:tcW w:type="dxa" w:w="1587"/>
            <w:shd w:val="clear" w:color="auto" w:fill="ffffff"/>
          </w:tcPr>
          <w:p>
            <w:r>
              <w:rPr>
                <w:rFonts w:ascii="Calibri" w:hAnsi="Calibri"/>
                <w:sz w:val="19"/>
              </w:rPr>
              <w:t>Organization</w:t>
            </w:r>
          </w:p>
        </w:tc>
        <w:tc>
          <w:tcPr>
            <w:tcW w:type="dxa" w:w="850"/>
            <w:shd w:val="clear" w:color="auto" w:fill="ffffff"/>
          </w:tcPr>
          <w:p>
            <w:r>
              <w:rPr>
                <w:rFonts w:ascii="Calibri" w:hAnsi="Calibri"/>
                <w:sz w:val="19"/>
              </w:rPr>
              <w:t>2</w:t>
            </w:r>
          </w:p>
        </w:tc>
        <w:tc>
          <w:tcPr>
            <w:tcW w:type="dxa" w:w="2551"/>
            <w:shd w:val="clear" w:color="auto" w:fill="ffffff"/>
          </w:tcPr>
          <w:p>
            <w:r>
              <w:rPr>
                <w:rFonts w:ascii="Calibri" w:hAnsi="Calibri"/>
                <w:sz w:val="19"/>
              </w:rPr>
              <w:t>Reporter references (MoHP, NTP)</w:t>
            </w:r>
          </w:p>
        </w:tc>
        <w:tc>
          <w:tcPr>
            <w:tcW w:type="dxa" w:w="4195"/>
            <w:shd w:val="clear" w:color="auto" w:fill="ffffff"/>
          </w:tcPr>
          <w:p>
            <w:r>
              <w:rPr>
                <w:rFonts w:ascii="Calibri" w:hAnsi="Calibri"/>
                <w:sz w:val="19"/>
              </w:rPr>
              <w:t>id, name, identifier, type</w:t>
            </w:r>
          </w:p>
        </w:tc>
      </w:tr>
      <w:tr>
        <w:tc>
          <w:tcPr>
            <w:tcW w:type="dxa" w:w="1587"/>
            <w:shd w:val="clear" w:color="auto" w:fill="f9fafb"/>
          </w:tcPr>
          <w:p>
            <w:r>
              <w:rPr>
                <w:rFonts w:ascii="Calibri" w:hAnsi="Calibri"/>
                <w:sz w:val="19"/>
              </w:rPr>
              <w:t>Location</w:t>
            </w:r>
          </w:p>
        </w:tc>
        <w:tc>
          <w:tcPr>
            <w:tcW w:type="dxa" w:w="850"/>
            <w:shd w:val="clear" w:color="auto" w:fill="f9fafb"/>
          </w:tcPr>
          <w:p>
            <w:r>
              <w:rPr>
                <w:rFonts w:ascii="Calibri" w:hAnsi="Calibri"/>
                <w:sz w:val="19"/>
              </w:rPr>
              <w:t>1</w:t>
            </w:r>
          </w:p>
        </w:tc>
        <w:tc>
          <w:tcPr>
            <w:tcW w:type="dxa" w:w="2551"/>
            <w:shd w:val="clear" w:color="auto" w:fill="f9fafb"/>
          </w:tcPr>
          <w:p>
            <w:r>
              <w:rPr>
                <w:rFonts w:ascii="Calibri" w:hAnsi="Calibri"/>
                <w:sz w:val="19"/>
              </w:rPr>
              <w:t>Subject reference (Kathmandu District)</w:t>
            </w:r>
          </w:p>
        </w:tc>
        <w:tc>
          <w:tcPr>
            <w:tcW w:type="dxa" w:w="4195"/>
            <w:shd w:val="clear" w:color="auto" w:fill="f9fafb"/>
          </w:tcPr>
          <w:p>
            <w:r>
              <w:rPr>
                <w:rFonts w:ascii="Calibri" w:hAnsi="Calibri"/>
                <w:sz w:val="19"/>
              </w:rPr>
              <w:t>id, name, partOf, address</w:t>
            </w:r>
          </w:p>
        </w:tc>
      </w:tr>
      <w:tr>
        <w:tc>
          <w:tcPr>
            <w:tcW w:type="dxa" w:w="1587"/>
            <w:shd w:val="clear" w:color="auto" w:fill="ffffff"/>
          </w:tcPr>
          <w:p>
            <w:r>
              <w:rPr>
                <w:rFonts w:ascii="Calibri" w:hAnsi="Calibri"/>
                <w:sz w:val="19"/>
              </w:rPr>
              <w:t>Bundle (variable)</w:t>
            </w:r>
          </w:p>
        </w:tc>
        <w:tc>
          <w:tcPr>
            <w:tcW w:type="dxa" w:w="850"/>
            <w:shd w:val="clear" w:color="auto" w:fill="ffffff"/>
          </w:tcPr>
          <w:p>
            <w:r>
              <w:rPr>
                <w:rFonts w:ascii="Calibri" w:hAnsi="Calibri"/>
                <w:sz w:val="19"/>
              </w:rPr>
              <w:t>32</w:t>
            </w:r>
          </w:p>
        </w:tc>
        <w:tc>
          <w:tcPr>
            <w:tcW w:type="dxa" w:w="2551"/>
            <w:shd w:val="clear" w:color="auto" w:fill="ffffff"/>
          </w:tcPr>
          <w:p>
            <w:r>
              <w:rPr>
                <w:rFonts w:ascii="Calibri" w:hAnsi="Calibri"/>
                <w:sz w:val="19"/>
              </w:rPr>
              <w:t>Per-variable collection (1 Measure + 60 MRs)</w:t>
            </w:r>
          </w:p>
        </w:tc>
        <w:tc>
          <w:tcPr>
            <w:tcW w:type="dxa" w:w="4195"/>
            <w:shd w:val="clear" w:color="auto" w:fill="ffffff"/>
          </w:tcPr>
          <w:p>
            <w:r>
              <w:rPr>
                <w:rFonts w:ascii="Calibri" w:hAnsi="Calibri"/>
                <w:sz w:val="19"/>
              </w:rPr>
              <w:t>type=collection, entry array</w:t>
            </w:r>
          </w:p>
        </w:tc>
      </w:tr>
      <w:tr>
        <w:tc>
          <w:tcPr>
            <w:tcW w:type="dxa" w:w="1587"/>
            <w:shd w:val="clear" w:color="auto" w:fill="f9fafb"/>
          </w:tcPr>
          <w:p>
            <w:r>
              <w:rPr>
                <w:rFonts w:ascii="Calibri" w:hAnsi="Calibri"/>
                <w:sz w:val="19"/>
              </w:rPr>
              <w:t>Bundle (master)</w:t>
            </w:r>
          </w:p>
        </w:tc>
        <w:tc>
          <w:tcPr>
            <w:tcW w:type="dxa" w:w="850"/>
            <w:shd w:val="clear" w:color="auto" w:fill="f9fafb"/>
          </w:tcPr>
          <w:p>
            <w:r>
              <w:rPr>
                <w:rFonts w:ascii="Calibri" w:hAnsi="Calibri"/>
                <w:sz w:val="19"/>
              </w:rPr>
              <w:t>1</w:t>
            </w:r>
          </w:p>
        </w:tc>
        <w:tc>
          <w:tcPr>
            <w:tcW w:type="dxa" w:w="2551"/>
            <w:shd w:val="clear" w:color="auto" w:fill="f9fafb"/>
          </w:tcPr>
          <w:p>
            <w:r>
              <w:rPr>
                <w:rFonts w:ascii="Calibri" w:hAnsi="Calibri"/>
                <w:sz w:val="19"/>
              </w:rPr>
              <w:t>All resources in one file</w:t>
            </w:r>
          </w:p>
        </w:tc>
        <w:tc>
          <w:tcPr>
            <w:tcW w:type="dxa" w:w="4195"/>
            <w:shd w:val="clear" w:color="auto" w:fill="f9fafb"/>
          </w:tcPr>
          <w:p>
            <w:r>
              <w:rPr>
                <w:rFonts w:ascii="Calibri" w:hAnsi="Calibri"/>
                <w:sz w:val="19"/>
              </w:rPr>
              <w:t>1,920 MRs + 32 Measures + 3 shared resources</w:t>
            </w:r>
          </w:p>
        </w:tc>
      </w:tr>
    </w:tbl>
    <w:p/>
    <w:p>
      <w:pPr>
        <w:jc w:val="center"/>
      </w:pPr>
      <w:r>
        <w:drawing>
          <wp:inline xmlns:a="http://schemas.openxmlformats.org/drawingml/2006/main" xmlns:pic="http://schemas.openxmlformats.org/drawingml/2006/picture">
            <wp:extent cx="5029200" cy="2227217"/>
            <wp:docPr id="13" name="Picture 13"/>
            <wp:cNvGraphicFramePr>
              <a:graphicFrameLocks noChangeAspect="1"/>
            </wp:cNvGraphicFramePr>
            <a:graphic>
              <a:graphicData uri="http://schemas.openxmlformats.org/drawingml/2006/picture">
                <pic:pic>
                  <pic:nvPicPr>
                    <pic:cNvPr id="0" name="chart_013.png"/>
                    <pic:cNvPicPr/>
                  </pic:nvPicPr>
                  <pic:blipFill>
                    <a:blip r:embed="rId21"/>
                    <a:stretch>
                      <a:fillRect/>
                    </a:stretch>
                  </pic:blipFill>
                  <pic:spPr>
                    <a:xfrm>
                      <a:off x="0" y="0"/>
                      <a:ext cx="5029200" cy="2227217"/>
                    </a:xfrm>
                    <a:prstGeom prst="rect"/>
                  </pic:spPr>
                </pic:pic>
              </a:graphicData>
            </a:graphic>
          </wp:inline>
        </w:drawing>
      </w:r>
    </w:p>
    <w:p>
      <w:pPr>
        <w:spacing w:before="40" w:after="160"/>
        <w:jc w:val="center"/>
      </w:pPr>
      <w:r>
        <w:rPr>
          <w:i/>
          <w:color w:val="6B7280"/>
          <w:sz w:val="18"/>
        </w:rPr>
        <w:t>Figure 4.1 — FHIR resource generation counts</w:t>
      </w:r>
    </w:p>
    <w:p>
      <w:pPr>
        <w:pStyle w:val="Heading2"/>
      </w:pPr>
      <w:r>
        <w:t>4.2  The 32 Variables</w:t>
      </w:r>
    </w:p>
    <w:p>
      <w:pPr>
        <w:spacing w:before="0" w:after="120"/>
        <w:jc w:val="left"/>
      </w:pPr>
      <w:r>
        <w:rPr>
          <w:rFonts w:ascii="Calibri" w:hAnsi="Calibri"/>
          <w:b w:val="0"/>
          <w:i w:val="0"/>
        </w:rPr>
        <w:t>32 variables from the cleaned dataset are mapped to FHIR Measure resources. 26 use ratio/proportion scoring (numerator + denominator populations); 6 use cohort scoring (single initial-population count).</w:t>
      </w:r>
    </w:p>
    <w:p>
      <w:pPr>
        <w:spacing w:before="160" w:after="40"/>
      </w:pPr>
      <w:r>
        <w:rPr>
          <w:i/>
          <w:color w:val="6B7280"/>
          <w:sz w:val="18"/>
        </w:rPr>
        <w:t>Table 4.2 — 32 Variables Mapped to FHIR Measures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984"/>
            <w:shd w:val="clear" w:color="auto" w:fill="1c3761"/>
          </w:tcPr>
          <w:p>
            <w:pPr>
              <w:jc w:val="center"/>
            </w:pPr>
            <w:r>
              <w:rPr>
                <w:rFonts w:ascii="Calibri" w:hAnsi="Calibri"/>
                <w:b/>
                <w:color w:val="FFFFFF"/>
                <w:sz w:val="19"/>
              </w:rPr>
              <w:t>Category</w:t>
            </w:r>
          </w:p>
        </w:tc>
        <w:tc>
          <w:tcPr>
            <w:tcW w:type="dxa" w:w="3402"/>
            <w:shd w:val="clear" w:color="auto" w:fill="1c3761"/>
          </w:tcPr>
          <w:p>
            <w:pPr>
              <w:jc w:val="center"/>
            </w:pPr>
            <w:r>
              <w:rPr>
                <w:rFonts w:ascii="Calibri" w:hAnsi="Calibri"/>
                <w:b/>
                <w:color w:val="FFFFFF"/>
                <w:sz w:val="19"/>
              </w:rPr>
              <w:t>Variables (32 total)</w:t>
            </w:r>
          </w:p>
        </w:tc>
        <w:tc>
          <w:tcPr>
            <w:tcW w:type="dxa" w:w="1417"/>
            <w:shd w:val="clear" w:color="auto" w:fill="1c3761"/>
          </w:tcPr>
          <w:p>
            <w:pPr>
              <w:jc w:val="center"/>
            </w:pPr>
            <w:r>
              <w:rPr>
                <w:rFonts w:ascii="Calibri" w:hAnsi="Calibri"/>
                <w:b/>
                <w:color w:val="FFFFFF"/>
                <w:sz w:val="19"/>
              </w:rPr>
              <w:t>FHIR Scoring</w:t>
            </w:r>
          </w:p>
        </w:tc>
        <w:tc>
          <w:tcPr>
            <w:tcW w:type="dxa" w:w="1247"/>
            <w:shd w:val="clear" w:color="auto" w:fill="1c3761"/>
          </w:tcPr>
          <w:p>
            <w:pPr>
              <w:jc w:val="center"/>
            </w:pPr>
            <w:r>
              <w:rPr>
                <w:rFonts w:ascii="Calibri" w:hAnsi="Calibri"/>
                <w:b/>
                <w:color w:val="FFFFFF"/>
                <w:sz w:val="19"/>
              </w:rPr>
              <w:t>DAR Months</w:t>
            </w:r>
          </w:p>
        </w:tc>
      </w:tr>
      <w:tr>
        <w:tc>
          <w:tcPr>
            <w:tcW w:type="dxa" w:w="1984"/>
            <w:shd w:val="clear" w:color="auto" w:fill="ffffff"/>
          </w:tcPr>
          <w:p>
            <w:r>
              <w:rPr>
                <w:rFonts w:ascii="Calibri" w:hAnsi="Calibri"/>
                <w:sz w:val="19"/>
              </w:rPr>
              <w:t>Notification — total</w:t>
            </w:r>
          </w:p>
        </w:tc>
        <w:tc>
          <w:tcPr>
            <w:tcW w:type="dxa" w:w="3402"/>
            <w:shd w:val="clear" w:color="auto" w:fill="ffffff"/>
          </w:tcPr>
          <w:p>
            <w:r>
              <w:rPr>
                <w:rFonts w:ascii="Calibri" w:hAnsi="Calibri"/>
                <w:sz w:val="19"/>
              </w:rPr>
              <w:t>new-cases-total</w:t>
            </w:r>
          </w:p>
        </w:tc>
        <w:tc>
          <w:tcPr>
            <w:tcW w:type="dxa" w:w="1417"/>
            <w:shd w:val="clear" w:color="auto" w:fill="ffffff"/>
          </w:tcPr>
          <w:p>
            <w:r>
              <w:rPr>
                <w:rFonts w:ascii="Calibri" w:hAnsi="Calibri"/>
                <w:sz w:val="19"/>
              </w:rPr>
              <w:t>ratio</w:t>
            </w:r>
          </w:p>
        </w:tc>
        <w:tc>
          <w:tcPr>
            <w:tcW w:type="dxa" w:w="1247"/>
            <w:shd w:val="clear" w:color="auto" w:fill="ffffff"/>
          </w:tcPr>
          <w:p>
            <w:r>
              <w:rPr>
                <w:rFonts w:ascii="Calibri" w:hAnsi="Calibri"/>
                <w:sz w:val="19"/>
              </w:rPr>
              <w:t>0</w:t>
            </w:r>
          </w:p>
        </w:tc>
      </w:tr>
      <w:tr>
        <w:tc>
          <w:tcPr>
            <w:tcW w:type="dxa" w:w="1984"/>
            <w:shd w:val="clear" w:color="auto" w:fill="f9fafb"/>
          </w:tcPr>
          <w:p>
            <w:r>
              <w:rPr>
                <w:rFonts w:ascii="Calibri" w:hAnsi="Calibri"/>
                <w:sz w:val="19"/>
              </w:rPr>
              <w:t>Notification — female</w:t>
            </w:r>
          </w:p>
        </w:tc>
        <w:tc>
          <w:tcPr>
            <w:tcW w:type="dxa" w:w="3402"/>
            <w:shd w:val="clear" w:color="auto" w:fill="f9fafb"/>
          </w:tcPr>
          <w:p>
            <w:r>
              <w:rPr>
                <w:rFonts w:ascii="Calibri" w:hAnsi="Calibri"/>
                <w:sz w:val="19"/>
              </w:rPr>
              <w:t>new-cases-female</w:t>
            </w:r>
          </w:p>
        </w:tc>
        <w:tc>
          <w:tcPr>
            <w:tcW w:type="dxa" w:w="1417"/>
            <w:shd w:val="clear" w:color="auto" w:fill="f9fafb"/>
          </w:tcPr>
          <w:p>
            <w:r>
              <w:rPr>
                <w:rFonts w:ascii="Calibri" w:hAnsi="Calibri"/>
                <w:sz w:val="19"/>
              </w:rPr>
              <w:t>ratio</w:t>
            </w:r>
          </w:p>
        </w:tc>
        <w:tc>
          <w:tcPr>
            <w:tcW w:type="dxa" w:w="1247"/>
            <w:shd w:val="clear" w:color="auto" w:fill="f9fafb"/>
          </w:tcPr>
          <w:p>
            <w:r>
              <w:rPr>
                <w:rFonts w:ascii="Calibri" w:hAnsi="Calibri"/>
                <w:sz w:val="19"/>
              </w:rPr>
              <w:t>3</w:t>
            </w:r>
          </w:p>
        </w:tc>
      </w:tr>
      <w:tr>
        <w:tc>
          <w:tcPr>
            <w:tcW w:type="dxa" w:w="1984"/>
            <w:shd w:val="clear" w:color="auto" w:fill="ffffff"/>
          </w:tcPr>
          <w:p>
            <w:r>
              <w:rPr>
                <w:rFonts w:ascii="Calibri" w:hAnsi="Calibri"/>
                <w:sz w:val="19"/>
              </w:rPr>
              <w:t>Notification — male</w:t>
            </w:r>
          </w:p>
        </w:tc>
        <w:tc>
          <w:tcPr>
            <w:tcW w:type="dxa" w:w="3402"/>
            <w:shd w:val="clear" w:color="auto" w:fill="ffffff"/>
          </w:tcPr>
          <w:p>
            <w:r>
              <w:rPr>
                <w:rFonts w:ascii="Calibri" w:hAnsi="Calibri"/>
                <w:sz w:val="19"/>
              </w:rPr>
              <w:t>new-cases-male</w:t>
            </w:r>
          </w:p>
        </w:tc>
        <w:tc>
          <w:tcPr>
            <w:tcW w:type="dxa" w:w="1417"/>
            <w:shd w:val="clear" w:color="auto" w:fill="ffffff"/>
          </w:tcPr>
          <w:p>
            <w:r>
              <w:rPr>
                <w:rFonts w:ascii="Calibri" w:hAnsi="Calibri"/>
                <w:sz w:val="19"/>
              </w:rPr>
              <w:t>ratio</w:t>
            </w:r>
          </w:p>
        </w:tc>
        <w:tc>
          <w:tcPr>
            <w:tcW w:type="dxa" w:w="1247"/>
            <w:shd w:val="clear" w:color="auto" w:fill="ffffff"/>
          </w:tcPr>
          <w:p>
            <w:r>
              <w:rPr>
                <w:rFonts w:ascii="Calibri" w:hAnsi="Calibri"/>
                <w:sz w:val="19"/>
              </w:rPr>
              <w:t>3</w:t>
            </w:r>
          </w:p>
        </w:tc>
      </w:tr>
      <w:tr>
        <w:tc>
          <w:tcPr>
            <w:tcW w:type="dxa" w:w="1984"/>
            <w:shd w:val="clear" w:color="auto" w:fill="f9fafb"/>
          </w:tcPr>
          <w:p>
            <w:r>
              <w:rPr>
                <w:rFonts w:ascii="Calibri" w:hAnsi="Calibri"/>
                <w:sz w:val="19"/>
              </w:rPr>
              <w:t>Relapse — total</w:t>
            </w:r>
          </w:p>
        </w:tc>
        <w:tc>
          <w:tcPr>
            <w:tcW w:type="dxa" w:w="3402"/>
            <w:shd w:val="clear" w:color="auto" w:fill="f9fafb"/>
          </w:tcPr>
          <w:p>
            <w:r>
              <w:rPr>
                <w:rFonts w:ascii="Calibri" w:hAnsi="Calibri"/>
                <w:sz w:val="19"/>
              </w:rPr>
              <w:t>relapse-total</w:t>
            </w:r>
          </w:p>
        </w:tc>
        <w:tc>
          <w:tcPr>
            <w:tcW w:type="dxa" w:w="1417"/>
            <w:shd w:val="clear" w:color="auto" w:fill="f9fafb"/>
          </w:tcPr>
          <w:p>
            <w:r>
              <w:rPr>
                <w:rFonts w:ascii="Calibri" w:hAnsi="Calibri"/>
                <w:sz w:val="19"/>
              </w:rPr>
              <w:t>ratio</w:t>
            </w:r>
          </w:p>
        </w:tc>
        <w:tc>
          <w:tcPr>
            <w:tcW w:type="dxa" w:w="1247"/>
            <w:shd w:val="clear" w:color="auto" w:fill="f9fafb"/>
          </w:tcPr>
          <w:p>
            <w:r>
              <w:rPr>
                <w:rFonts w:ascii="Calibri" w:hAnsi="Calibri"/>
                <w:sz w:val="19"/>
              </w:rPr>
              <w:t>3</w:t>
            </w:r>
          </w:p>
        </w:tc>
      </w:tr>
      <w:tr>
        <w:tc>
          <w:tcPr>
            <w:tcW w:type="dxa" w:w="1984"/>
            <w:shd w:val="clear" w:color="auto" w:fill="ffffff"/>
          </w:tcPr>
          <w:p>
            <w:r>
              <w:rPr>
                <w:rFonts w:ascii="Calibri" w:hAnsi="Calibri"/>
                <w:sz w:val="19"/>
              </w:rPr>
              <w:t>Relapse — female</w:t>
            </w:r>
          </w:p>
        </w:tc>
        <w:tc>
          <w:tcPr>
            <w:tcW w:type="dxa" w:w="3402"/>
            <w:shd w:val="clear" w:color="auto" w:fill="ffffff"/>
          </w:tcPr>
          <w:p>
            <w:r>
              <w:rPr>
                <w:rFonts w:ascii="Calibri" w:hAnsi="Calibri"/>
                <w:sz w:val="19"/>
              </w:rPr>
              <w:t>relapse-female</w:t>
            </w:r>
          </w:p>
        </w:tc>
        <w:tc>
          <w:tcPr>
            <w:tcW w:type="dxa" w:w="1417"/>
            <w:shd w:val="clear" w:color="auto" w:fill="ffffff"/>
          </w:tcPr>
          <w:p>
            <w:r>
              <w:rPr>
                <w:rFonts w:ascii="Calibri" w:hAnsi="Calibri"/>
                <w:sz w:val="19"/>
              </w:rPr>
              <w:t>ratio</w:t>
            </w:r>
          </w:p>
        </w:tc>
        <w:tc>
          <w:tcPr>
            <w:tcW w:type="dxa" w:w="1247"/>
            <w:shd w:val="clear" w:color="auto" w:fill="ffffff"/>
          </w:tcPr>
          <w:p>
            <w:r>
              <w:rPr>
                <w:rFonts w:ascii="Calibri" w:hAnsi="Calibri"/>
                <w:sz w:val="19"/>
              </w:rPr>
              <w:t>3</w:t>
            </w:r>
          </w:p>
        </w:tc>
      </w:tr>
      <w:tr>
        <w:tc>
          <w:tcPr>
            <w:tcW w:type="dxa" w:w="1984"/>
            <w:shd w:val="clear" w:color="auto" w:fill="f9fafb"/>
          </w:tcPr>
          <w:p>
            <w:r>
              <w:rPr>
                <w:rFonts w:ascii="Calibri" w:hAnsi="Calibri"/>
                <w:sz w:val="19"/>
              </w:rPr>
              <w:t>Relapse — male</w:t>
            </w:r>
          </w:p>
        </w:tc>
        <w:tc>
          <w:tcPr>
            <w:tcW w:type="dxa" w:w="3402"/>
            <w:shd w:val="clear" w:color="auto" w:fill="f9fafb"/>
          </w:tcPr>
          <w:p>
            <w:r>
              <w:rPr>
                <w:rFonts w:ascii="Calibri" w:hAnsi="Calibri"/>
                <w:sz w:val="19"/>
              </w:rPr>
              <w:t>relapse-male</w:t>
            </w:r>
          </w:p>
        </w:tc>
        <w:tc>
          <w:tcPr>
            <w:tcW w:type="dxa" w:w="1417"/>
            <w:shd w:val="clear" w:color="auto" w:fill="f9fafb"/>
          </w:tcPr>
          <w:p>
            <w:r>
              <w:rPr>
                <w:rFonts w:ascii="Calibri" w:hAnsi="Calibri"/>
                <w:sz w:val="19"/>
              </w:rPr>
              <w:t>ratio</w:t>
            </w:r>
          </w:p>
        </w:tc>
        <w:tc>
          <w:tcPr>
            <w:tcW w:type="dxa" w:w="1247"/>
            <w:shd w:val="clear" w:color="auto" w:fill="f9fafb"/>
          </w:tcPr>
          <w:p>
            <w:r>
              <w:rPr>
                <w:rFonts w:ascii="Calibri" w:hAnsi="Calibri"/>
                <w:sz w:val="19"/>
              </w:rPr>
              <w:t>3</w:t>
            </w:r>
          </w:p>
        </w:tc>
      </w:tr>
      <w:tr>
        <w:tc>
          <w:tcPr>
            <w:tcW w:type="dxa" w:w="1984"/>
            <w:shd w:val="clear" w:color="auto" w:fill="ffffff"/>
          </w:tcPr>
          <w:p>
            <w:r>
              <w:rPr>
                <w:rFonts w:ascii="Calibri" w:hAnsi="Calibri"/>
                <w:sz w:val="19"/>
              </w:rPr>
              <w:t>Total TB (M+F)</w:t>
            </w:r>
          </w:p>
        </w:tc>
        <w:tc>
          <w:tcPr>
            <w:tcW w:type="dxa" w:w="3402"/>
            <w:shd w:val="clear" w:color="auto" w:fill="ffffff"/>
          </w:tcPr>
          <w:p>
            <w:r>
              <w:rPr>
                <w:rFonts w:ascii="Calibri" w:hAnsi="Calibri"/>
                <w:sz w:val="19"/>
              </w:rPr>
              <w:t>total-tb-notified, total-tb-female, total-tb-male</w:t>
            </w:r>
          </w:p>
        </w:tc>
        <w:tc>
          <w:tcPr>
            <w:tcW w:type="dxa" w:w="1417"/>
            <w:shd w:val="clear" w:color="auto" w:fill="ffffff"/>
          </w:tcPr>
          <w:p>
            <w:r>
              <w:rPr>
                <w:rFonts w:ascii="Calibri" w:hAnsi="Calibri"/>
                <w:sz w:val="19"/>
              </w:rPr>
              <w:t>ratio</w:t>
            </w:r>
          </w:p>
        </w:tc>
        <w:tc>
          <w:tcPr>
            <w:tcW w:type="dxa" w:w="1247"/>
            <w:shd w:val="clear" w:color="auto" w:fill="ffffff"/>
          </w:tcPr>
          <w:p>
            <w:r>
              <w:rPr>
                <w:rFonts w:ascii="Calibri" w:hAnsi="Calibri"/>
                <w:sz w:val="19"/>
              </w:rPr>
              <w:t>3 each</w:t>
            </w:r>
          </w:p>
        </w:tc>
      </w:tr>
      <w:tr>
        <w:tc>
          <w:tcPr>
            <w:tcW w:type="dxa" w:w="1984"/>
            <w:shd w:val="clear" w:color="auto" w:fill="f9fafb"/>
          </w:tcPr>
          <w:p>
            <w:r>
              <w:rPr>
                <w:rFonts w:ascii="Calibri" w:hAnsi="Calibri"/>
                <w:sz w:val="19"/>
              </w:rPr>
              <w:t>HIV co-infection</w:t>
            </w:r>
          </w:p>
        </w:tc>
        <w:tc>
          <w:tcPr>
            <w:tcW w:type="dxa" w:w="3402"/>
            <w:shd w:val="clear" w:color="auto" w:fill="f9fafb"/>
          </w:tcPr>
          <w:p>
            <w:r>
              <w:rPr>
                <w:rFonts w:ascii="Calibri" w:hAnsi="Calibri"/>
                <w:sz w:val="19"/>
              </w:rPr>
              <w:t>hiv-positive</w:t>
            </w:r>
          </w:p>
        </w:tc>
        <w:tc>
          <w:tcPr>
            <w:tcW w:type="dxa" w:w="1417"/>
            <w:shd w:val="clear" w:color="auto" w:fill="f9fafb"/>
          </w:tcPr>
          <w:p>
            <w:r>
              <w:rPr>
                <w:rFonts w:ascii="Calibri" w:hAnsi="Calibri"/>
                <w:sz w:val="19"/>
              </w:rPr>
              <w:t>ratio</w:t>
            </w:r>
          </w:p>
        </w:tc>
        <w:tc>
          <w:tcPr>
            <w:tcW w:type="dxa" w:w="1247"/>
            <w:shd w:val="clear" w:color="auto" w:fill="f9fafb"/>
          </w:tcPr>
          <w:p>
            <w:r>
              <w:rPr>
                <w:rFonts w:ascii="Calibri" w:hAnsi="Calibri"/>
                <w:sz w:val="19"/>
              </w:rPr>
              <w:t>0</w:t>
            </w:r>
          </w:p>
        </w:tc>
      </w:tr>
      <w:tr>
        <w:tc>
          <w:tcPr>
            <w:tcW w:type="dxa" w:w="1984"/>
            <w:shd w:val="clear" w:color="auto" w:fill="ffffff"/>
          </w:tcPr>
          <w:p>
            <w:r>
              <w:rPr>
                <w:rFonts w:ascii="Calibri" w:hAnsi="Calibri"/>
                <w:sz w:val="19"/>
              </w:rPr>
              <w:t>Age-sex bands (16)</w:t>
            </w:r>
          </w:p>
        </w:tc>
        <w:tc>
          <w:tcPr>
            <w:tcW w:type="dxa" w:w="3402"/>
            <w:shd w:val="clear" w:color="auto" w:fill="ffffff"/>
          </w:tcPr>
          <w:p>
            <w:r>
              <w:rPr>
                <w:rFonts w:ascii="Calibri" w:hAnsi="Calibri"/>
                <w:sz w:val="19"/>
              </w:rPr>
              <w:t>age-0to4-f/m, age-5to14-f/m, ..., age-65plus-f/m</w:t>
            </w:r>
          </w:p>
        </w:tc>
        <w:tc>
          <w:tcPr>
            <w:tcW w:type="dxa" w:w="1417"/>
            <w:shd w:val="clear" w:color="auto" w:fill="ffffff"/>
          </w:tcPr>
          <w:p>
            <w:r>
              <w:rPr>
                <w:rFonts w:ascii="Calibri" w:hAnsi="Calibri"/>
                <w:sz w:val="19"/>
              </w:rPr>
              <w:t>ratio</w:t>
            </w:r>
          </w:p>
        </w:tc>
        <w:tc>
          <w:tcPr>
            <w:tcW w:type="dxa" w:w="1247"/>
            <w:shd w:val="clear" w:color="auto" w:fill="ffffff"/>
          </w:tcPr>
          <w:p>
            <w:r>
              <w:rPr>
                <w:rFonts w:ascii="Calibri" w:hAnsi="Calibri"/>
                <w:sz w:val="19"/>
              </w:rPr>
              <w:t>3 each</w:t>
            </w:r>
          </w:p>
        </w:tc>
      </w:tr>
      <w:tr>
        <w:tc>
          <w:tcPr>
            <w:tcW w:type="dxa" w:w="1984"/>
            <w:shd w:val="clear" w:color="auto" w:fill="f9fafb"/>
          </w:tcPr>
          <w:p>
            <w:r>
              <w:rPr>
                <w:rFonts w:ascii="Calibri" w:hAnsi="Calibri"/>
                <w:sz w:val="19"/>
              </w:rPr>
              <w:t>PBC cohort</w:t>
            </w:r>
          </w:p>
        </w:tc>
        <w:tc>
          <w:tcPr>
            <w:tcW w:type="dxa" w:w="3402"/>
            <w:shd w:val="clear" w:color="auto" w:fill="f9fafb"/>
          </w:tcPr>
          <w:p>
            <w:r>
              <w:rPr>
                <w:rFonts w:ascii="Calibri" w:hAnsi="Calibri"/>
                <w:sz w:val="19"/>
              </w:rPr>
              <w:t>pbc-reg, cured, failed, died, ltfu, not-eval</w:t>
            </w:r>
          </w:p>
        </w:tc>
        <w:tc>
          <w:tcPr>
            <w:tcW w:type="dxa" w:w="1417"/>
            <w:shd w:val="clear" w:color="auto" w:fill="f9fafb"/>
          </w:tcPr>
          <w:p>
            <w:r>
              <w:rPr>
                <w:rFonts w:ascii="Calibri" w:hAnsi="Calibri"/>
                <w:sz w:val="19"/>
              </w:rPr>
              <w:t>cohort</w:t>
            </w:r>
          </w:p>
        </w:tc>
        <w:tc>
          <w:tcPr>
            <w:tcW w:type="dxa" w:w="1247"/>
            <w:shd w:val="clear" w:color="auto" w:fill="f9fafb"/>
          </w:tcPr>
          <w:p>
            <w:r>
              <w:rPr>
                <w:rFonts w:ascii="Calibri" w:hAnsi="Calibri"/>
                <w:sz w:val="19"/>
              </w:rPr>
              <w:t>0</w:t>
            </w:r>
          </w:p>
        </w:tc>
      </w:tr>
    </w:tbl>
    <w:p/>
    <w:p>
      <w:pPr>
        <w:pStyle w:val="Heading2"/>
      </w:pPr>
      <w:r>
        <w:t>4.3  MeasureReport JSON Structure</w:t>
      </w:r>
    </w:p>
    <w:p>
      <w:pPr>
        <w:spacing w:before="0" w:after="120"/>
        <w:jc w:val="left"/>
      </w:pPr>
      <w:r>
        <w:rPr>
          <w:rFonts w:ascii="Calibri" w:hAnsi="Calibri"/>
          <w:b w:val="0"/>
          <w:i w:val="0"/>
        </w:rPr>
        <w:t>Each MeasureReport instance contains: resource type and ID; measure reference (canonical URL of the corresponding Measure); status (complete); type (summary); subject (Location/loc-kathmandu); reporter (Organization/org-ntp); period (Gregorian ISO 8601 dates with NepaliCalendarPeriod extension); group with population entries (numerator count, denominator count for ratio measures; initial-population count for cohort measures); and measureScore with UCUM unit.</w:t>
      </w:r>
    </w:p>
    <w:p>
      <w:pPr>
        <w:pStyle w:val="Heading2"/>
      </w:pPr>
      <w:r>
        <w:t>4.4  Custom FHIR Extension: NepaliCalendarPeriod</w:t>
      </w:r>
    </w:p>
    <w:p>
      <w:pPr>
        <w:spacing w:before="0" w:after="120"/>
        <w:jc w:val="left"/>
      </w:pPr>
      <w:r>
        <w:rPr>
          <w:rFonts w:ascii="Calibri" w:hAnsi="Calibri"/>
          <w:b w:val="0"/>
          <w:i w:val="0"/>
        </w:rPr>
        <w:t>Nepal's NTP reporting cycle, fiscal year, and programme management all follow the Bikram Sambat (BS) calendar. FHIR Period elements require Gregorian ISO 8601 dates — but the BS calendar context is essential for correct interpretation by Nepal NTP users and for fiscal year roll-up analysis. A custom FHIR extension was designed and registered under the IIHMS canonical namespace to carry this context alongside the mandatory Gregorian dates.</w:t>
      </w:r>
    </w:p>
    <w:p>
      <w:pPr>
        <w:spacing w:before="160" w:after="40"/>
      </w:pPr>
      <w:r>
        <w:rPr>
          <w:i/>
          <w:color w:val="6B7280"/>
          <w:sz w:val="18"/>
        </w:rPr>
        <w:t>Table 4.3 — NepaliCalendarPeriod Extension Sub-extensions</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701"/>
            <w:shd w:val="clear" w:color="auto" w:fill="1c3761"/>
          </w:tcPr>
          <w:p>
            <w:pPr>
              <w:jc w:val="center"/>
            </w:pPr>
            <w:r>
              <w:rPr>
                <w:rFonts w:ascii="Calibri" w:hAnsi="Calibri"/>
                <w:b/>
                <w:color w:val="FFFFFF"/>
                <w:sz w:val="19"/>
              </w:rPr>
              <w:t>Sub-extension</w:t>
            </w:r>
          </w:p>
        </w:tc>
        <w:tc>
          <w:tcPr>
            <w:tcW w:type="dxa" w:w="1247"/>
            <w:shd w:val="clear" w:color="auto" w:fill="1c3761"/>
          </w:tcPr>
          <w:p>
            <w:pPr>
              <w:jc w:val="center"/>
            </w:pPr>
            <w:r>
              <w:rPr>
                <w:rFonts w:ascii="Calibri" w:hAnsi="Calibri"/>
                <w:b/>
                <w:color w:val="FFFFFF"/>
                <w:sz w:val="19"/>
              </w:rPr>
              <w:t>FHIR Type</w:t>
            </w:r>
          </w:p>
        </w:tc>
        <w:tc>
          <w:tcPr>
            <w:tcW w:type="dxa" w:w="1417"/>
            <w:shd w:val="clear" w:color="auto" w:fill="1c3761"/>
          </w:tcPr>
          <w:p>
            <w:pPr>
              <w:jc w:val="center"/>
            </w:pPr>
            <w:r>
              <w:rPr>
                <w:rFonts w:ascii="Calibri" w:hAnsi="Calibri"/>
                <w:b/>
                <w:color w:val="FFFFFF"/>
                <w:sz w:val="19"/>
              </w:rPr>
              <w:t>Cardinality</w:t>
            </w:r>
          </w:p>
        </w:tc>
        <w:tc>
          <w:tcPr>
            <w:tcW w:type="dxa" w:w="1417"/>
            <w:shd w:val="clear" w:color="auto" w:fill="1c3761"/>
          </w:tcPr>
          <w:p>
            <w:pPr>
              <w:jc w:val="center"/>
            </w:pPr>
            <w:r>
              <w:rPr>
                <w:rFonts w:ascii="Calibri" w:hAnsi="Calibri"/>
                <w:b/>
                <w:color w:val="FFFFFF"/>
                <w:sz w:val="19"/>
              </w:rPr>
              <w:t>Example</w:t>
            </w:r>
          </w:p>
        </w:tc>
        <w:tc>
          <w:tcPr>
            <w:tcW w:type="dxa" w:w="3402"/>
            <w:shd w:val="clear" w:color="auto" w:fill="1c3761"/>
          </w:tcPr>
          <w:p>
            <w:pPr>
              <w:jc w:val="center"/>
            </w:pPr>
            <w:r>
              <w:rPr>
                <w:rFonts w:ascii="Calibri" w:hAnsi="Calibri"/>
                <w:b/>
                <w:color w:val="FFFFFF"/>
                <w:sz w:val="19"/>
              </w:rPr>
              <w:t>Purpose</w:t>
            </w:r>
          </w:p>
        </w:tc>
      </w:tr>
      <w:tr>
        <w:tc>
          <w:tcPr>
            <w:tcW w:type="dxa" w:w="1701"/>
            <w:shd w:val="clear" w:color="auto" w:fill="ffffff"/>
          </w:tcPr>
          <w:p>
            <w:r>
              <w:rPr>
                <w:rFonts w:ascii="Calibri" w:hAnsi="Calibri"/>
                <w:sz w:val="19"/>
              </w:rPr>
              <w:t>bs-year</w:t>
            </w:r>
          </w:p>
        </w:tc>
        <w:tc>
          <w:tcPr>
            <w:tcW w:type="dxa" w:w="1247"/>
            <w:shd w:val="clear" w:color="auto" w:fill="ffffff"/>
          </w:tcPr>
          <w:p>
            <w:r>
              <w:rPr>
                <w:rFonts w:ascii="Calibri" w:hAnsi="Calibri"/>
                <w:sz w:val="19"/>
              </w:rPr>
              <w:t>integer</w:t>
            </w:r>
          </w:p>
        </w:tc>
        <w:tc>
          <w:tcPr>
            <w:tcW w:type="dxa" w:w="1417"/>
            <w:shd w:val="clear" w:color="auto" w:fill="ffffff"/>
          </w:tcPr>
          <w:p>
            <w:r>
              <w:rPr>
                <w:rFonts w:ascii="Calibri" w:hAnsi="Calibri"/>
                <w:sz w:val="19"/>
              </w:rPr>
              <w:t>1..1 MS</w:t>
            </w:r>
          </w:p>
        </w:tc>
        <w:tc>
          <w:tcPr>
            <w:tcW w:type="dxa" w:w="1417"/>
            <w:shd w:val="clear" w:color="auto" w:fill="ffffff"/>
          </w:tcPr>
          <w:p>
            <w:r>
              <w:rPr>
                <w:rFonts w:ascii="Calibri" w:hAnsi="Calibri"/>
                <w:sz w:val="19"/>
              </w:rPr>
              <w:t>2078</w:t>
            </w:r>
          </w:p>
        </w:tc>
        <w:tc>
          <w:tcPr>
            <w:tcW w:type="dxa" w:w="3402"/>
            <w:shd w:val="clear" w:color="auto" w:fill="ffffff"/>
          </w:tcPr>
          <w:p>
            <w:r>
              <w:rPr>
                <w:rFonts w:ascii="Calibri" w:hAnsi="Calibri"/>
                <w:sz w:val="19"/>
              </w:rPr>
              <w:t>Bikram Sambat year number</w:t>
            </w:r>
          </w:p>
        </w:tc>
      </w:tr>
      <w:tr>
        <w:tc>
          <w:tcPr>
            <w:tcW w:type="dxa" w:w="1701"/>
            <w:shd w:val="clear" w:color="auto" w:fill="f9fafb"/>
          </w:tcPr>
          <w:p>
            <w:r>
              <w:rPr>
                <w:rFonts w:ascii="Calibri" w:hAnsi="Calibri"/>
                <w:sz w:val="19"/>
              </w:rPr>
              <w:t>bs-month</w:t>
            </w:r>
          </w:p>
        </w:tc>
        <w:tc>
          <w:tcPr>
            <w:tcW w:type="dxa" w:w="1247"/>
            <w:shd w:val="clear" w:color="auto" w:fill="f9fafb"/>
          </w:tcPr>
          <w:p>
            <w:r>
              <w:rPr>
                <w:rFonts w:ascii="Calibri" w:hAnsi="Calibri"/>
                <w:sz w:val="19"/>
              </w:rPr>
              <w:t>string</w:t>
            </w:r>
          </w:p>
        </w:tc>
        <w:tc>
          <w:tcPr>
            <w:tcW w:type="dxa" w:w="1417"/>
            <w:shd w:val="clear" w:color="auto" w:fill="f9fafb"/>
          </w:tcPr>
          <w:p>
            <w:r>
              <w:rPr>
                <w:rFonts w:ascii="Calibri" w:hAnsi="Calibri"/>
                <w:sz w:val="19"/>
              </w:rPr>
              <w:t>1..1 MS</w:t>
            </w:r>
          </w:p>
        </w:tc>
        <w:tc>
          <w:tcPr>
            <w:tcW w:type="dxa" w:w="1417"/>
            <w:shd w:val="clear" w:color="auto" w:fill="f9fafb"/>
          </w:tcPr>
          <w:p>
            <w:r>
              <w:rPr>
                <w:rFonts w:ascii="Calibri" w:hAnsi="Calibri"/>
                <w:sz w:val="19"/>
              </w:rPr>
              <w:t>Shrawan</w:t>
            </w:r>
          </w:p>
        </w:tc>
        <w:tc>
          <w:tcPr>
            <w:tcW w:type="dxa" w:w="3402"/>
            <w:shd w:val="clear" w:color="auto" w:fill="f9fafb"/>
          </w:tcPr>
          <w:p>
            <w:r>
              <w:rPr>
                <w:rFonts w:ascii="Calibri" w:hAnsi="Calibri"/>
                <w:sz w:val="19"/>
              </w:rPr>
              <w:t>BS month name (MONTH_ORDER)</w:t>
            </w:r>
          </w:p>
        </w:tc>
      </w:tr>
      <w:tr>
        <w:tc>
          <w:tcPr>
            <w:tcW w:type="dxa" w:w="1701"/>
            <w:shd w:val="clear" w:color="auto" w:fill="ffffff"/>
          </w:tcPr>
          <w:p>
            <w:r>
              <w:rPr>
                <w:rFonts w:ascii="Calibri" w:hAnsi="Calibri"/>
                <w:sz w:val="19"/>
              </w:rPr>
              <w:t>fiscal-year</w:t>
            </w:r>
          </w:p>
        </w:tc>
        <w:tc>
          <w:tcPr>
            <w:tcW w:type="dxa" w:w="1247"/>
            <w:shd w:val="clear" w:color="auto" w:fill="ffffff"/>
          </w:tcPr>
          <w:p>
            <w:r>
              <w:rPr>
                <w:rFonts w:ascii="Calibri" w:hAnsi="Calibri"/>
                <w:sz w:val="19"/>
              </w:rPr>
              <w:t>string</w:t>
            </w:r>
          </w:p>
        </w:tc>
        <w:tc>
          <w:tcPr>
            <w:tcW w:type="dxa" w:w="1417"/>
            <w:shd w:val="clear" w:color="auto" w:fill="ffffff"/>
          </w:tcPr>
          <w:p>
            <w:r>
              <w:rPr>
                <w:rFonts w:ascii="Calibri" w:hAnsi="Calibri"/>
                <w:sz w:val="19"/>
              </w:rPr>
              <w:t>1..1 MS</w:t>
            </w:r>
          </w:p>
        </w:tc>
        <w:tc>
          <w:tcPr>
            <w:tcW w:type="dxa" w:w="1417"/>
            <w:shd w:val="clear" w:color="auto" w:fill="ffffff"/>
          </w:tcPr>
          <w:p>
            <w:r>
              <w:rPr>
                <w:rFonts w:ascii="Calibri" w:hAnsi="Calibri"/>
                <w:sz w:val="19"/>
              </w:rPr>
              <w:t>2078/79</w:t>
            </w:r>
          </w:p>
        </w:tc>
        <w:tc>
          <w:tcPr>
            <w:tcW w:type="dxa" w:w="3402"/>
            <w:shd w:val="clear" w:color="auto" w:fill="ffffff"/>
          </w:tcPr>
          <w:p>
            <w:r>
              <w:rPr>
                <w:rFonts w:ascii="Calibri" w:hAnsi="Calibri"/>
                <w:sz w:val="19"/>
              </w:rPr>
              <w:t>Nepal fiscal year notation</w:t>
            </w:r>
          </w:p>
        </w:tc>
      </w:tr>
    </w:tbl>
    <w:p/>
    <w:tbl>
      <w:tblPr>
        <w:tblStyle w:val="TableGrid"/>
        <w:tblW w:type="auto" w:w="0"/>
        <w:tblLook w:firstColumn="1" w:firstRow="1" w:lastColumn="0" w:lastRow="0" w:noHBand="0" w:noVBand="1" w:val="04A0"/>
      </w:tblPr>
      <w:tblGrid>
        <w:gridCol w:w="9072"/>
      </w:tblGrid>
      <w:tr>
        <w:tc>
          <w:tcPr>
            <w:tcW w:type="dxa" w:w="9072"/>
            <w:shd w:val="clear" w:color="auto" w:fill="eff6ff"/>
          </w:tcPr>
          <w:p>
            <w:pPr>
              <w:spacing w:before="60" w:after="60"/>
            </w:pPr>
            <w:r>
              <w:rPr>
                <w:b/>
                <w:color w:val="1C3761"/>
                <w:sz w:val="19"/>
              </w:rPr>
              <w:t xml:space="preserve">NOTE:  </w:t>
            </w:r>
            <w:r>
              <w:rPr>
                <w:color w:val="1F2937"/>
                <w:sz w:val="19"/>
              </w:rPr>
              <w:t>Gregorian period mapping logic: BS months Baishak–Ashwin (April–September) → subtract 57 years. BS months Kartik–Chaitra (October–March) → subtract 56 years. Example: Shrawan 2078 → 2021-07-16 to 2021-08-15.</w:t>
            </w:r>
          </w:p>
        </w:tc>
      </w:tr>
    </w:tbl>
    <w:p/>
    <w:p>
      <w:pPr>
        <w:pStyle w:val="Heading2"/>
      </w:pPr>
      <w:r>
        <w:t>4.5  Data-Absent-Reason Encoding Logic</w:t>
      </w:r>
    </w:p>
    <w:p>
      <w:pPr>
        <w:spacing w:before="0" w:after="120"/>
        <w:jc w:val="left"/>
      </w:pPr>
      <w:r>
        <w:rPr>
          <w:rFonts w:ascii="Calibri" w:hAnsi="Calibri"/>
          <w:b w:val="0"/>
          <w:i w:val="0"/>
        </w:rPr>
        <w:t>For the 72 cells where sex/age data is absent (24 variables × 3 gap months), the HL7 FHIR data-absent-reason extension is applied per the FHIR R4 specification. The population count element is set to null, and the extension is applied with valueCode: not-reported — indicating that data collection was not performed, as opposed to 'unknown' (data exists but is not available) or 'error' (data collection failed). MeasureScore is also set to null for these MeasureReports.</w:t>
      </w:r>
    </w:p>
    <w:p>
      <w:pPr>
        <w:jc w:val="center"/>
      </w:pPr>
      <w:r>
        <w:drawing>
          <wp:inline xmlns:a="http://schemas.openxmlformats.org/drawingml/2006/main" xmlns:pic="http://schemas.openxmlformats.org/drawingml/2006/picture">
            <wp:extent cx="5486400" cy="2978331"/>
            <wp:docPr id="14" name="Picture 14"/>
            <wp:cNvGraphicFramePr>
              <a:graphicFrameLocks noChangeAspect="1"/>
            </wp:cNvGraphicFramePr>
            <a:graphic>
              <a:graphicData uri="http://schemas.openxmlformats.org/drawingml/2006/picture">
                <pic:pic>
                  <pic:nvPicPr>
                    <pic:cNvPr id="0" name="chart_014.png"/>
                    <pic:cNvPicPr/>
                  </pic:nvPicPr>
                  <pic:blipFill>
                    <a:blip r:embed="rId22"/>
                    <a:stretch>
                      <a:fillRect/>
                    </a:stretch>
                  </pic:blipFill>
                  <pic:spPr>
                    <a:xfrm>
                      <a:off x="0" y="0"/>
                      <a:ext cx="5486400" cy="2978331"/>
                    </a:xfrm>
                    <a:prstGeom prst="rect"/>
                  </pic:spPr>
                </pic:pic>
              </a:graphicData>
            </a:graphic>
          </wp:inline>
        </w:drawing>
      </w:r>
    </w:p>
    <w:p>
      <w:pPr>
        <w:spacing w:before="40" w:after="160"/>
        <w:jc w:val="center"/>
      </w:pPr>
      <w:r>
        <w:rPr>
          <w:i/>
          <w:color w:val="6B7280"/>
          <w:sz w:val="18"/>
        </w:rPr>
        <w:t>Figure 4.2 — DAR encoding decision for first 6 months across 10 sample variables</w:t>
      </w:r>
    </w:p>
    <w:p>
      <w:pPr>
        <w:jc w:val="center"/>
      </w:pPr>
      <w:r>
        <w:drawing>
          <wp:inline xmlns:a="http://schemas.openxmlformats.org/drawingml/2006/main" xmlns:pic="http://schemas.openxmlformats.org/drawingml/2006/picture">
            <wp:extent cx="5029200" cy="2370908"/>
            <wp:docPr id="15" name="Picture 15"/>
            <wp:cNvGraphicFramePr>
              <a:graphicFrameLocks noChangeAspect="1"/>
            </wp:cNvGraphicFramePr>
            <a:graphic>
              <a:graphicData uri="http://schemas.openxmlformats.org/drawingml/2006/picture">
                <pic:pic>
                  <pic:nvPicPr>
                    <pic:cNvPr id="0" name="chart_015.png"/>
                    <pic:cNvPicPr/>
                  </pic:nvPicPr>
                  <pic:blipFill>
                    <a:blip r:embed="rId23"/>
                    <a:stretch>
                      <a:fillRect/>
                    </a:stretch>
                  </pic:blipFill>
                  <pic:spPr>
                    <a:xfrm>
                      <a:off x="0" y="0"/>
                      <a:ext cx="5029200" cy="2370908"/>
                    </a:xfrm>
                    <a:prstGeom prst="rect"/>
                  </pic:spPr>
                </pic:pic>
              </a:graphicData>
            </a:graphic>
          </wp:inline>
        </w:drawing>
      </w:r>
    </w:p>
    <w:p>
      <w:pPr>
        <w:spacing w:before="40" w:after="160"/>
        <w:jc w:val="center"/>
      </w:pPr>
      <w:r>
        <w:rPr>
          <w:i/>
          <w:color w:val="6B7280"/>
          <w:sz w:val="18"/>
        </w:rPr>
        <w:t>Figure 4.3 — Treemap: 1,848 complete MRs vs. 72 DAR-encoded MRs</w:t>
      </w:r>
    </w:p>
    <w:p>
      <w:pPr>
        <w:pStyle w:val="Heading2"/>
      </w:pPr>
      <w:r>
        <w:t>4.6  FHIR Validation Results</w:t>
      </w:r>
    </w:p>
    <w:p>
      <w:pPr>
        <w:spacing w:before="0" w:after="120"/>
        <w:jc w:val="left"/>
      </w:pPr>
      <w:r>
        <w:rPr>
          <w:rFonts w:ascii="Calibri" w:hAnsi="Calibri"/>
          <w:b w:val="0"/>
          <w:i w:val="0"/>
        </w:rPr>
        <w:t>Every generated resource is validated using the fhir.resources Python library (v8.2.0), which uses Pydantic-based schema enforcement. Validation covers: JSON syntactic correctness, required field presence, datatype conformance, cardinality constraints, reference resolution, and ISO 8601 date validity. All 77,368 automated checks across all resources passed with zero failures.</w:t>
      </w:r>
    </w:p>
    <w:p>
      <w:pPr>
        <w:spacing w:before="160" w:after="40"/>
      </w:pPr>
      <w:r>
        <w:rPr>
          <w:i/>
          <w:color w:val="6B7280"/>
          <w:sz w:val="18"/>
        </w:rPr>
        <w:t>Table 4.4 — FHIR Internal Validation Summary</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2268"/>
            <w:shd w:val="clear" w:color="auto" w:fill="1c3761"/>
          </w:tcPr>
          <w:p>
            <w:pPr>
              <w:jc w:val="center"/>
            </w:pPr>
            <w:r>
              <w:rPr>
                <w:rFonts w:ascii="Calibri" w:hAnsi="Calibri"/>
                <w:b/>
                <w:color w:val="FFFFFF"/>
                <w:sz w:val="19"/>
              </w:rPr>
              <w:t>Scope</w:t>
            </w:r>
          </w:p>
        </w:tc>
        <w:tc>
          <w:tcPr>
            <w:tcW w:type="dxa" w:w="1417"/>
            <w:shd w:val="clear" w:color="auto" w:fill="1c3761"/>
          </w:tcPr>
          <w:p>
            <w:pPr>
              <w:jc w:val="center"/>
            </w:pPr>
            <w:r>
              <w:rPr>
                <w:rFonts w:ascii="Calibri" w:hAnsi="Calibri"/>
                <w:b/>
                <w:color w:val="FFFFFF"/>
                <w:sz w:val="19"/>
              </w:rPr>
              <w:t>Resources</w:t>
            </w:r>
          </w:p>
        </w:tc>
        <w:tc>
          <w:tcPr>
            <w:tcW w:type="dxa" w:w="1134"/>
            <w:shd w:val="clear" w:color="auto" w:fill="1c3761"/>
          </w:tcPr>
          <w:p>
            <w:pPr>
              <w:jc w:val="center"/>
            </w:pPr>
            <w:r>
              <w:rPr>
                <w:rFonts w:ascii="Calibri" w:hAnsi="Calibri"/>
                <w:b/>
                <w:color w:val="FFFFFF"/>
                <w:sz w:val="19"/>
              </w:rPr>
              <w:t>Checks</w:t>
            </w:r>
          </w:p>
        </w:tc>
        <w:tc>
          <w:tcPr>
            <w:tcW w:type="dxa" w:w="1134"/>
            <w:shd w:val="clear" w:color="auto" w:fill="1c3761"/>
          </w:tcPr>
          <w:p>
            <w:pPr>
              <w:jc w:val="center"/>
            </w:pPr>
            <w:r>
              <w:rPr>
                <w:rFonts w:ascii="Calibri" w:hAnsi="Calibri"/>
                <w:b/>
                <w:color w:val="FFFFFF"/>
                <w:sz w:val="19"/>
              </w:rPr>
              <w:t>Passed</w:t>
            </w:r>
          </w:p>
        </w:tc>
        <w:tc>
          <w:tcPr>
            <w:tcW w:type="dxa" w:w="1134"/>
            <w:shd w:val="clear" w:color="auto" w:fill="1c3761"/>
          </w:tcPr>
          <w:p>
            <w:pPr>
              <w:jc w:val="center"/>
            </w:pPr>
            <w:r>
              <w:rPr>
                <w:rFonts w:ascii="Calibri" w:hAnsi="Calibri"/>
                <w:b/>
                <w:color w:val="FFFFFF"/>
                <w:sz w:val="19"/>
              </w:rPr>
              <w:t>Failed</w:t>
            </w:r>
          </w:p>
        </w:tc>
        <w:tc>
          <w:tcPr>
            <w:tcW w:type="dxa" w:w="1134"/>
            <w:shd w:val="clear" w:color="auto" w:fill="1c3761"/>
          </w:tcPr>
          <w:p>
            <w:pPr>
              <w:jc w:val="center"/>
            </w:pPr>
            <w:r>
              <w:rPr>
                <w:rFonts w:ascii="Calibri" w:hAnsi="Calibri"/>
                <w:b/>
                <w:color w:val="FFFFFF"/>
                <w:sz w:val="19"/>
              </w:rPr>
              <w:t>Rate</w:t>
            </w:r>
          </w:p>
        </w:tc>
      </w:tr>
      <w:tr>
        <w:tc>
          <w:tcPr>
            <w:tcW w:type="dxa" w:w="2268"/>
            <w:shd w:val="clear" w:color="auto" w:fill="ffffff"/>
          </w:tcPr>
          <w:p>
            <w:r>
              <w:rPr>
                <w:rFonts w:ascii="Calibri" w:hAnsi="Calibri"/>
                <w:sz w:val="19"/>
              </w:rPr>
              <w:t>Measure definitions</w:t>
            </w:r>
          </w:p>
        </w:tc>
        <w:tc>
          <w:tcPr>
            <w:tcW w:type="dxa" w:w="1417"/>
            <w:shd w:val="clear" w:color="auto" w:fill="ffffff"/>
          </w:tcPr>
          <w:p>
            <w:r>
              <w:rPr>
                <w:rFonts w:ascii="Calibri" w:hAnsi="Calibri"/>
                <w:sz w:val="19"/>
              </w:rPr>
              <w:t>32</w:t>
            </w:r>
          </w:p>
        </w:tc>
        <w:tc>
          <w:tcPr>
            <w:tcW w:type="dxa" w:w="1134"/>
            <w:shd w:val="clear" w:color="auto" w:fill="ffffff"/>
          </w:tcPr>
          <w:p>
            <w:r>
              <w:rPr>
                <w:rFonts w:ascii="Calibri" w:hAnsi="Calibri"/>
                <w:sz w:val="19"/>
              </w:rPr>
              <w:t>2,048</w:t>
            </w:r>
          </w:p>
        </w:tc>
        <w:tc>
          <w:tcPr>
            <w:tcW w:type="dxa" w:w="1134"/>
            <w:shd w:val="clear" w:color="auto" w:fill="ffffff"/>
          </w:tcPr>
          <w:p>
            <w:r>
              <w:rPr>
                <w:rFonts w:ascii="Calibri" w:hAnsi="Calibri"/>
                <w:sz w:val="19"/>
              </w:rPr>
              <w:t>2,048</w:t>
            </w:r>
          </w:p>
        </w:tc>
        <w:tc>
          <w:tcPr>
            <w:tcW w:type="dxa" w:w="1134"/>
            <w:shd w:val="clear" w:color="auto" w:fill="ffffff"/>
          </w:tcPr>
          <w:p>
            <w:r>
              <w:rPr>
                <w:rFonts w:ascii="Calibri" w:hAnsi="Calibri"/>
                <w:sz w:val="19"/>
              </w:rPr>
              <w:t>0</w:t>
            </w:r>
          </w:p>
        </w:tc>
        <w:tc>
          <w:tcPr>
            <w:tcW w:type="dxa" w:w="1134"/>
            <w:shd w:val="clear" w:color="auto" w:fill="ffffff"/>
          </w:tcPr>
          <w:p>
            <w:r>
              <w:rPr>
                <w:rFonts w:ascii="Calibri" w:hAnsi="Calibri"/>
                <w:sz w:val="19"/>
              </w:rPr>
              <w:t>100%</w:t>
            </w:r>
          </w:p>
        </w:tc>
      </w:tr>
      <w:tr>
        <w:tc>
          <w:tcPr>
            <w:tcW w:type="dxa" w:w="2268"/>
            <w:shd w:val="clear" w:color="auto" w:fill="f9fafb"/>
          </w:tcPr>
          <w:p>
            <w:r>
              <w:rPr>
                <w:rFonts w:ascii="Calibri" w:hAnsi="Calibri"/>
                <w:sz w:val="19"/>
              </w:rPr>
              <w:t>MeasureReport instances</w:t>
            </w:r>
          </w:p>
        </w:tc>
        <w:tc>
          <w:tcPr>
            <w:tcW w:type="dxa" w:w="1417"/>
            <w:shd w:val="clear" w:color="auto" w:fill="f9fafb"/>
          </w:tcPr>
          <w:p>
            <w:r>
              <w:rPr>
                <w:rFonts w:ascii="Calibri" w:hAnsi="Calibri"/>
                <w:sz w:val="19"/>
              </w:rPr>
              <w:t>1,920</w:t>
            </w:r>
          </w:p>
        </w:tc>
        <w:tc>
          <w:tcPr>
            <w:tcW w:type="dxa" w:w="1134"/>
            <w:shd w:val="clear" w:color="auto" w:fill="f9fafb"/>
          </w:tcPr>
          <w:p>
            <w:r>
              <w:rPr>
                <w:rFonts w:ascii="Calibri" w:hAnsi="Calibri"/>
                <w:sz w:val="19"/>
              </w:rPr>
              <w:t>73,728</w:t>
            </w:r>
          </w:p>
        </w:tc>
        <w:tc>
          <w:tcPr>
            <w:tcW w:type="dxa" w:w="1134"/>
            <w:shd w:val="clear" w:color="auto" w:fill="f9fafb"/>
          </w:tcPr>
          <w:p>
            <w:r>
              <w:rPr>
                <w:rFonts w:ascii="Calibri" w:hAnsi="Calibri"/>
                <w:sz w:val="19"/>
              </w:rPr>
              <w:t>73,728</w:t>
            </w:r>
          </w:p>
        </w:tc>
        <w:tc>
          <w:tcPr>
            <w:tcW w:type="dxa" w:w="1134"/>
            <w:shd w:val="clear" w:color="auto" w:fill="f9fafb"/>
          </w:tcPr>
          <w:p>
            <w:r>
              <w:rPr>
                <w:rFonts w:ascii="Calibri" w:hAnsi="Calibri"/>
                <w:sz w:val="19"/>
              </w:rPr>
              <w:t>0</w:t>
            </w:r>
          </w:p>
        </w:tc>
        <w:tc>
          <w:tcPr>
            <w:tcW w:type="dxa" w:w="1134"/>
            <w:shd w:val="clear" w:color="auto" w:fill="f9fafb"/>
          </w:tcPr>
          <w:p>
            <w:r>
              <w:rPr>
                <w:rFonts w:ascii="Calibri" w:hAnsi="Calibri"/>
                <w:sz w:val="19"/>
              </w:rPr>
              <w:t>100%</w:t>
            </w:r>
          </w:p>
        </w:tc>
      </w:tr>
      <w:tr>
        <w:tc>
          <w:tcPr>
            <w:tcW w:type="dxa" w:w="2268"/>
            <w:shd w:val="clear" w:color="auto" w:fill="ffffff"/>
          </w:tcPr>
          <w:p>
            <w:r>
              <w:rPr>
                <w:rFonts w:ascii="Calibri" w:hAnsi="Calibri"/>
                <w:sz w:val="19"/>
              </w:rPr>
              <w:t>DAR encoding</w:t>
            </w:r>
          </w:p>
        </w:tc>
        <w:tc>
          <w:tcPr>
            <w:tcW w:type="dxa" w:w="1417"/>
            <w:shd w:val="clear" w:color="auto" w:fill="ffffff"/>
          </w:tcPr>
          <w:p>
            <w:r>
              <w:rPr>
                <w:rFonts w:ascii="Calibri" w:hAnsi="Calibri"/>
                <w:sz w:val="19"/>
              </w:rPr>
              <w:t>72</w:t>
            </w:r>
          </w:p>
        </w:tc>
        <w:tc>
          <w:tcPr>
            <w:tcW w:type="dxa" w:w="1134"/>
            <w:shd w:val="clear" w:color="auto" w:fill="ffffff"/>
          </w:tcPr>
          <w:p>
            <w:r>
              <w:rPr>
                <w:rFonts w:ascii="Calibri" w:hAnsi="Calibri"/>
                <w:sz w:val="19"/>
              </w:rPr>
              <w:t>1,440</w:t>
            </w:r>
          </w:p>
        </w:tc>
        <w:tc>
          <w:tcPr>
            <w:tcW w:type="dxa" w:w="1134"/>
            <w:shd w:val="clear" w:color="auto" w:fill="ffffff"/>
          </w:tcPr>
          <w:p>
            <w:r>
              <w:rPr>
                <w:rFonts w:ascii="Calibri" w:hAnsi="Calibri"/>
                <w:sz w:val="19"/>
              </w:rPr>
              <w:t>1,440</w:t>
            </w:r>
          </w:p>
        </w:tc>
        <w:tc>
          <w:tcPr>
            <w:tcW w:type="dxa" w:w="1134"/>
            <w:shd w:val="clear" w:color="auto" w:fill="ffffff"/>
          </w:tcPr>
          <w:p>
            <w:r>
              <w:rPr>
                <w:rFonts w:ascii="Calibri" w:hAnsi="Calibri"/>
                <w:sz w:val="19"/>
              </w:rPr>
              <w:t>0</w:t>
            </w:r>
          </w:p>
        </w:tc>
        <w:tc>
          <w:tcPr>
            <w:tcW w:type="dxa" w:w="1134"/>
            <w:shd w:val="clear" w:color="auto" w:fill="ffffff"/>
          </w:tcPr>
          <w:p>
            <w:r>
              <w:rPr>
                <w:rFonts w:ascii="Calibri" w:hAnsi="Calibri"/>
                <w:sz w:val="19"/>
              </w:rPr>
              <w:t>100%</w:t>
            </w:r>
          </w:p>
        </w:tc>
      </w:tr>
      <w:tr>
        <w:tc>
          <w:tcPr>
            <w:tcW w:type="dxa" w:w="2268"/>
            <w:shd w:val="clear" w:color="auto" w:fill="f9fafb"/>
          </w:tcPr>
          <w:p>
            <w:r>
              <w:rPr>
                <w:rFonts w:ascii="Calibri" w:hAnsi="Calibri"/>
                <w:sz w:val="19"/>
              </w:rPr>
              <w:t>Bundle structure</w:t>
            </w:r>
          </w:p>
        </w:tc>
        <w:tc>
          <w:tcPr>
            <w:tcW w:type="dxa" w:w="1417"/>
            <w:shd w:val="clear" w:color="auto" w:fill="f9fafb"/>
          </w:tcPr>
          <w:p>
            <w:r>
              <w:rPr>
                <w:rFonts w:ascii="Calibri" w:hAnsi="Calibri"/>
                <w:sz w:val="19"/>
              </w:rPr>
              <w:t>33</w:t>
            </w:r>
          </w:p>
        </w:tc>
        <w:tc>
          <w:tcPr>
            <w:tcW w:type="dxa" w:w="1134"/>
            <w:shd w:val="clear" w:color="auto" w:fill="f9fafb"/>
          </w:tcPr>
          <w:p>
            <w:r>
              <w:rPr>
                <w:rFonts w:ascii="Calibri" w:hAnsi="Calibri"/>
                <w:sz w:val="19"/>
              </w:rPr>
              <w:t>1,320</w:t>
            </w:r>
          </w:p>
        </w:tc>
        <w:tc>
          <w:tcPr>
            <w:tcW w:type="dxa" w:w="1134"/>
            <w:shd w:val="clear" w:color="auto" w:fill="f9fafb"/>
          </w:tcPr>
          <w:p>
            <w:r>
              <w:rPr>
                <w:rFonts w:ascii="Calibri" w:hAnsi="Calibri"/>
                <w:sz w:val="19"/>
              </w:rPr>
              <w:t>1,320</w:t>
            </w:r>
          </w:p>
        </w:tc>
        <w:tc>
          <w:tcPr>
            <w:tcW w:type="dxa" w:w="1134"/>
            <w:shd w:val="clear" w:color="auto" w:fill="f9fafb"/>
          </w:tcPr>
          <w:p>
            <w:r>
              <w:rPr>
                <w:rFonts w:ascii="Calibri" w:hAnsi="Calibri"/>
                <w:sz w:val="19"/>
              </w:rPr>
              <w:t>0</w:t>
            </w:r>
          </w:p>
        </w:tc>
        <w:tc>
          <w:tcPr>
            <w:tcW w:type="dxa" w:w="1134"/>
            <w:shd w:val="clear" w:color="auto" w:fill="f9fafb"/>
          </w:tcPr>
          <w:p>
            <w:r>
              <w:rPr>
                <w:rFonts w:ascii="Calibri" w:hAnsi="Calibri"/>
                <w:sz w:val="19"/>
              </w:rPr>
              <w:t>100%</w:t>
            </w:r>
          </w:p>
        </w:tc>
      </w:tr>
      <w:tr>
        <w:tc>
          <w:tcPr>
            <w:tcW w:type="dxa" w:w="2268"/>
            <w:shd w:val="clear" w:color="auto" w:fill="ffffff"/>
          </w:tcPr>
          <w:p>
            <w:r>
              <w:rPr>
                <w:rFonts w:ascii="Calibri" w:hAnsi="Calibri"/>
                <w:sz w:val="19"/>
              </w:rPr>
              <w:t>TOTAL</w:t>
            </w:r>
          </w:p>
        </w:tc>
        <w:tc>
          <w:tcPr>
            <w:tcW w:type="dxa" w:w="1417"/>
            <w:shd w:val="clear" w:color="auto" w:fill="ffffff"/>
          </w:tcPr>
          <w:p>
            <w:r>
              <w:rPr>
                <w:rFonts w:ascii="Calibri" w:hAnsi="Calibri"/>
                <w:sz w:val="19"/>
              </w:rPr>
              <w:t>2,057</w:t>
            </w:r>
          </w:p>
        </w:tc>
        <w:tc>
          <w:tcPr>
            <w:tcW w:type="dxa" w:w="1134"/>
            <w:shd w:val="clear" w:color="auto" w:fill="ffffff"/>
          </w:tcPr>
          <w:p>
            <w:r>
              <w:rPr>
                <w:rFonts w:ascii="Calibri" w:hAnsi="Calibri"/>
                <w:sz w:val="19"/>
              </w:rPr>
              <w:t>77,368</w:t>
            </w:r>
          </w:p>
        </w:tc>
        <w:tc>
          <w:tcPr>
            <w:tcW w:type="dxa" w:w="1134"/>
            <w:shd w:val="clear" w:color="auto" w:fill="ffffff"/>
          </w:tcPr>
          <w:p>
            <w:r>
              <w:rPr>
                <w:rFonts w:ascii="Calibri" w:hAnsi="Calibri"/>
                <w:sz w:val="19"/>
              </w:rPr>
              <w:t>77,368</w:t>
            </w:r>
          </w:p>
        </w:tc>
        <w:tc>
          <w:tcPr>
            <w:tcW w:type="dxa" w:w="1134"/>
            <w:shd w:val="clear" w:color="auto" w:fill="ffffff"/>
          </w:tcPr>
          <w:p>
            <w:r>
              <w:rPr>
                <w:rFonts w:ascii="Calibri" w:hAnsi="Calibri"/>
                <w:sz w:val="19"/>
              </w:rPr>
              <w:t>0</w:t>
            </w:r>
          </w:p>
        </w:tc>
        <w:tc>
          <w:tcPr>
            <w:tcW w:type="dxa" w:w="1134"/>
            <w:shd w:val="clear" w:color="auto" w:fill="ffffff"/>
          </w:tcPr>
          <w:p>
            <w:r>
              <w:rPr>
                <w:rFonts w:ascii="Calibri" w:hAnsi="Calibri"/>
                <w:sz w:val="19"/>
              </w:rPr>
              <w:t>100%</w:t>
            </w:r>
          </w:p>
        </w:tc>
      </w:tr>
    </w:tbl>
    <w:p/>
    <w:tbl>
      <w:tblPr>
        <w:tblStyle w:val="TableGrid"/>
        <w:tblW w:type="auto" w:w="0"/>
        <w:tblLook w:firstColumn="1" w:firstRow="1" w:lastColumn="0" w:lastRow="0" w:noHBand="0" w:noVBand="1" w:val="04A0"/>
      </w:tblPr>
      <w:tblGrid>
        <w:gridCol w:w="9072"/>
      </w:tblGrid>
      <w:tr>
        <w:tc>
          <w:tcPr>
            <w:tcW w:type="dxa" w:w="9072"/>
            <w:shd w:val="clear" w:color="auto" w:fill="f0fdf4"/>
          </w:tcPr>
          <w:p>
            <w:pPr>
              <w:spacing w:before="60" w:after="60"/>
            </w:pPr>
            <w:r>
              <w:rPr>
                <w:b/>
                <w:color w:val="15803D"/>
                <w:sz w:val="19"/>
              </w:rPr>
              <w:t xml:space="preserve">KEY FINDING:  </w:t>
            </w:r>
            <w:r>
              <w:rPr>
                <w:color w:val="1F2937"/>
                <w:sz w:val="19"/>
              </w:rPr>
              <w:t>100% FHIR validation pass rate across 77,368 automated checks represents production-grade data quality. All 1,920 MeasureReport instances are ready for upload to any FHIR R4 compliant server without post-processing.</w:t>
            </w:r>
          </w:p>
        </w:tc>
      </w:tr>
    </w:tbl>
    <w:p/>
    <w:p>
      <w:r>
        <w:br w:type="page"/>
      </w:r>
    </w:p>
    <w:p>
      <w:pPr>
        <w:pStyle w:val="Heading1"/>
      </w:pPr>
      <w:r>
        <w:t>Phase 5 — FHIR Implementation Guide (IG v1.0.0 STU1)</w:t>
      </w:r>
    </w:p>
    <w:tbl>
      <w:tblPr>
        <w:tblStyle w:val="TableGrid"/>
        <w:tblW w:type="auto" w:w="0"/>
        <w:jc w:val="center"/>
        <w:tblLook w:firstColumn="1" w:firstRow="1" w:lastColumn="0" w:lastRow="0" w:noHBand="0" w:noVBand="1" w:val="04A0"/>
      </w:tblPr>
      <w:tblGrid>
        <w:gridCol w:w="9072"/>
      </w:tblGrid>
      <w:tr>
        <w:tc>
          <w:tcPr>
            <w:tcW w:type="dxa" w:w="9072"/>
            <w:shd w:val="clear" w:color="auto" w:fill="eff6ff"/>
          </w:tcPr>
          <w:p>
            <w:pPr>
              <w:spacing w:before="80" w:after="80"/>
            </w:pPr>
            <w:r>
              <w:rPr>
                <w:b/>
                <w:color w:val="1C3761"/>
                <w:sz w:val="22"/>
              </w:rPr>
              <w:t>PHASE 5  —  FHIR Implementation Guide</w:t>
              <w:br/>
            </w:r>
            <w:r>
              <w:rPr>
                <w:b/>
                <w:color w:val="1C3761"/>
                <w:sz w:val="19"/>
              </w:rPr>
              <w:t xml:space="preserve">Objective: </w:t>
            </w:r>
            <w:r>
              <w:rPr>
                <w:color w:val="374151"/>
                <w:sz w:val="19"/>
              </w:rPr>
              <w:t>Publish a formal FHIR IG providing machine-readable profiles, extensions, and terminology for the Nepal NTP TB FHIR layer.</w:t>
              <w:br/>
            </w:r>
            <w:r>
              <w:rPr>
                <w:b/>
                <w:color w:val="1C3761"/>
                <w:sz w:val="19"/>
              </w:rPr>
              <w:t xml:space="preserve">Inputs: </w:t>
            </w:r>
            <w:r>
              <w:rPr>
                <w:color w:val="374151"/>
                <w:sz w:val="19"/>
              </w:rPr>
              <w:t>FSH source files (6), Python ETL (3 example MRs), GitHub Actions CI/CD</w:t>
              <w:br/>
            </w:r>
            <w:r>
              <w:rPr>
                <w:b/>
                <w:color w:val="1C3761"/>
                <w:sz w:val="19"/>
              </w:rPr>
              <w:t xml:space="preserve">Outputs: </w:t>
            </w:r>
            <w:r>
              <w:rPr>
                <w:color w:val="374151"/>
                <w:sz w:val="19"/>
              </w:rPr>
              <w:t>IG v1.0.0 STU1 (HTML + JSON artifacts), GitHub Pages deployment</w:t>
              <w:br/>
            </w:r>
            <w:r>
              <w:rPr>
                <w:b/>
                <w:color w:val="1C3761"/>
                <w:sz w:val="19"/>
              </w:rPr>
              <w:t xml:space="preserve">Scripts: </w:t>
            </w:r>
            <w:r>
              <w:rPr>
                <w:color w:val="374151"/>
                <w:sz w:val="19"/>
              </w:rPr>
              <w:t>ig/input/fsh/*.fsh, .github/workflows/ig-publish.yml</w:t>
              <w:br/>
            </w:r>
          </w:p>
        </w:tc>
      </w:tr>
    </w:tbl>
    <w:p/>
    <w:p>
      <w:pPr>
        <w:pStyle w:val="Heading2"/>
      </w:pPr>
      <w:r>
        <w:t>5.1  What is a FHIR Implementation Guide?</w:t>
      </w:r>
    </w:p>
    <w:p>
      <w:pPr>
        <w:spacing w:before="0" w:after="120"/>
        <w:jc w:val="left"/>
      </w:pPr>
      <w:r>
        <w:rPr>
          <w:rFonts w:ascii="Calibri" w:hAnsi="Calibri"/>
          <w:b w:val="0"/>
          <w:i w:val="0"/>
        </w:rPr>
        <w:t>A FHIR Implementation Guide (IG) is a formal specification that describes how FHIR resources should be used for a particular use case. It includes: profiles that constrain base FHIR resources to the specific data model, extensions that add new data elements not present in base FHIR, terminology (CodeSystems and ValueSets) for coded values, example resources demonstrating correct usage, and human-readable narrative documentation. IGs are the authoritative reference for any system implementing the FHIR layer.</w:t>
      </w:r>
    </w:p>
    <w:p>
      <w:pPr>
        <w:spacing w:before="0" w:after="120"/>
        <w:jc w:val="left"/>
      </w:pPr>
      <w:r>
        <w:rPr>
          <w:rFonts w:ascii="Calibri" w:hAnsi="Calibri"/>
          <w:b w:val="0"/>
          <w:i w:val="0"/>
        </w:rPr>
        <w:t>This project's IG (package ID: iihms.nepal.tb, version 1.0.0) is the first formal FHIR IG for Nepal NTP TB surveillance data. It is authored in FHIR Shorthand (FSH) — a domain-specific language that compiles to FHIR JSON — and compiled with SUSHI v3.19.0. The IG is published to GitHub Pages via an automated GitHub Actions CI/CD pipeline.</w:t>
      </w:r>
    </w:p>
    <w:p>
      <w:pPr>
        <w:pStyle w:val="Heading2"/>
      </w:pPr>
      <w:r>
        <w:t>5.2  IG Artifact Inventory</w:t>
      </w:r>
    </w:p>
    <w:p>
      <w:pPr>
        <w:spacing w:before="160" w:after="40"/>
      </w:pPr>
      <w:r>
        <w:rPr>
          <w:i/>
          <w:color w:val="6B7280"/>
          <w:sz w:val="18"/>
        </w:rPr>
        <w:t>Table 5.1 — FHIR IG Artifact Inventory</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587"/>
            <w:shd w:val="clear" w:color="auto" w:fill="1c3761"/>
          </w:tcPr>
          <w:p>
            <w:pPr>
              <w:jc w:val="center"/>
            </w:pPr>
            <w:r>
              <w:rPr>
                <w:rFonts w:ascii="Calibri" w:hAnsi="Calibri"/>
                <w:b/>
                <w:color w:val="FFFFFF"/>
                <w:sz w:val="19"/>
              </w:rPr>
              <w:t>Artifact Type</w:t>
            </w:r>
          </w:p>
        </w:tc>
        <w:tc>
          <w:tcPr>
            <w:tcW w:type="dxa" w:w="680"/>
            <w:shd w:val="clear" w:color="auto" w:fill="1c3761"/>
          </w:tcPr>
          <w:p>
            <w:pPr>
              <w:jc w:val="center"/>
            </w:pPr>
            <w:r>
              <w:rPr>
                <w:rFonts w:ascii="Calibri" w:hAnsi="Calibri"/>
                <w:b/>
                <w:color w:val="FFFFFF"/>
                <w:sz w:val="19"/>
              </w:rPr>
              <w:t>Count</w:t>
            </w:r>
          </w:p>
        </w:tc>
        <w:tc>
          <w:tcPr>
            <w:tcW w:type="dxa" w:w="1701"/>
            <w:shd w:val="clear" w:color="auto" w:fill="1c3761"/>
          </w:tcPr>
          <w:p>
            <w:pPr>
              <w:jc w:val="center"/>
            </w:pPr>
            <w:r>
              <w:rPr>
                <w:rFonts w:ascii="Calibri" w:hAnsi="Calibri"/>
                <w:b/>
                <w:color w:val="FFFFFF"/>
                <w:sz w:val="19"/>
              </w:rPr>
              <w:t>Name</w:t>
            </w:r>
          </w:p>
        </w:tc>
        <w:tc>
          <w:tcPr>
            <w:tcW w:type="dxa" w:w="2268"/>
            <w:shd w:val="clear" w:color="auto" w:fill="1c3761"/>
          </w:tcPr>
          <w:p>
            <w:pPr>
              <w:jc w:val="center"/>
            </w:pPr>
            <w:r>
              <w:rPr>
                <w:rFonts w:ascii="Calibri" w:hAnsi="Calibri"/>
                <w:b/>
                <w:color w:val="FFFFFF"/>
                <w:sz w:val="19"/>
              </w:rPr>
              <w:t>SUSHI File</w:t>
            </w:r>
          </w:p>
        </w:tc>
        <w:tc>
          <w:tcPr>
            <w:tcW w:type="dxa" w:w="2948"/>
            <w:shd w:val="clear" w:color="auto" w:fill="1c3761"/>
          </w:tcPr>
          <w:p>
            <w:pPr>
              <w:jc w:val="center"/>
            </w:pPr>
            <w:r>
              <w:rPr>
                <w:rFonts w:ascii="Calibri" w:hAnsi="Calibri"/>
                <w:b/>
                <w:color w:val="FFFFFF"/>
                <w:sz w:val="19"/>
              </w:rPr>
              <w:t>Purpose</w:t>
            </w:r>
          </w:p>
        </w:tc>
      </w:tr>
      <w:tr>
        <w:tc>
          <w:tcPr>
            <w:tcW w:type="dxa" w:w="1587"/>
            <w:shd w:val="clear" w:color="auto" w:fill="ffffff"/>
          </w:tcPr>
          <w:p>
            <w:r>
              <w:rPr>
                <w:rFonts w:ascii="Calibri" w:hAnsi="Calibri"/>
                <w:sz w:val="19"/>
              </w:rPr>
              <w:t>FHIR Profile</w:t>
            </w:r>
          </w:p>
        </w:tc>
        <w:tc>
          <w:tcPr>
            <w:tcW w:type="dxa" w:w="680"/>
            <w:shd w:val="clear" w:color="auto" w:fill="ffffff"/>
          </w:tcPr>
          <w:p>
            <w:r>
              <w:rPr>
                <w:rFonts w:ascii="Calibri" w:hAnsi="Calibri"/>
                <w:sz w:val="19"/>
              </w:rPr>
              <w:t>2</w:t>
            </w:r>
          </w:p>
        </w:tc>
        <w:tc>
          <w:tcPr>
            <w:tcW w:type="dxa" w:w="1701"/>
            <w:shd w:val="clear" w:color="auto" w:fill="ffffff"/>
          </w:tcPr>
          <w:p>
            <w:r>
              <w:rPr>
                <w:rFonts w:ascii="Calibri" w:hAnsi="Calibri"/>
                <w:sz w:val="19"/>
              </w:rPr>
              <w:t>TBMeasure</w:t>
            </w:r>
          </w:p>
        </w:tc>
        <w:tc>
          <w:tcPr>
            <w:tcW w:type="dxa" w:w="2268"/>
            <w:shd w:val="clear" w:color="auto" w:fill="ffffff"/>
          </w:tcPr>
          <w:p>
            <w:r>
              <w:rPr>
                <w:rFonts w:ascii="Calibri" w:hAnsi="Calibri"/>
                <w:sz w:val="19"/>
              </w:rPr>
              <w:t>profiles/TBMeasure.fsh</w:t>
            </w:r>
          </w:p>
        </w:tc>
        <w:tc>
          <w:tcPr>
            <w:tcW w:type="dxa" w:w="2948"/>
            <w:shd w:val="clear" w:color="auto" w:fill="ffffff"/>
          </w:tcPr>
          <w:p>
            <w:r>
              <w:rPr>
                <w:rFonts w:ascii="Calibri" w:hAnsi="Calibri"/>
                <w:sz w:val="19"/>
              </w:rPr>
              <w:t>Constrains FHIR Measure for Nepal NTP variables</w:t>
            </w:r>
          </w:p>
        </w:tc>
      </w:tr>
      <w:tr>
        <w:tc>
          <w:tcPr>
            <w:tcW w:type="dxa" w:w="1587"/>
            <w:shd w:val="clear" w:color="auto" w:fill="f9fafb"/>
          </w:tcPr>
          <w:p>
            <w:r>
              <w:rPr>
                <w:rFonts w:ascii="Calibri" w:hAnsi="Calibri"/>
                <w:sz w:val="19"/>
              </w:rPr>
              <w:t>FHIR Profile</w:t>
            </w:r>
          </w:p>
        </w:tc>
        <w:tc>
          <w:tcPr>
            <w:tcW w:type="dxa" w:w="680"/>
            <w:shd w:val="clear" w:color="auto" w:fill="f9fafb"/>
          </w:tcPr>
          <w:p>
            <w:r>
              <w:rPr>
                <w:rFonts w:ascii="Calibri" w:hAnsi="Calibri"/>
                <w:sz w:val="19"/>
              </w:rPr>
            </w:r>
          </w:p>
        </w:tc>
        <w:tc>
          <w:tcPr>
            <w:tcW w:type="dxa" w:w="1701"/>
            <w:shd w:val="clear" w:color="auto" w:fill="f9fafb"/>
          </w:tcPr>
          <w:p>
            <w:r>
              <w:rPr>
                <w:rFonts w:ascii="Calibri" w:hAnsi="Calibri"/>
                <w:sz w:val="19"/>
              </w:rPr>
              <w:t>TBMeasureReport</w:t>
            </w:r>
          </w:p>
        </w:tc>
        <w:tc>
          <w:tcPr>
            <w:tcW w:type="dxa" w:w="2268"/>
            <w:shd w:val="clear" w:color="auto" w:fill="f9fafb"/>
          </w:tcPr>
          <w:p>
            <w:r>
              <w:rPr>
                <w:rFonts w:ascii="Calibri" w:hAnsi="Calibri"/>
                <w:sz w:val="19"/>
              </w:rPr>
              <w:t>profiles/TBMeasureReport.fsh</w:t>
            </w:r>
          </w:p>
        </w:tc>
        <w:tc>
          <w:tcPr>
            <w:tcW w:type="dxa" w:w="2948"/>
            <w:shd w:val="clear" w:color="auto" w:fill="f9fafb"/>
          </w:tcPr>
          <w:p>
            <w:r>
              <w:rPr>
                <w:rFonts w:ascii="Calibri" w:hAnsi="Calibri"/>
                <w:sz w:val="19"/>
              </w:rPr>
              <w:t>Constrains FHIR MeasureReport for NTP data instances</w:t>
            </w:r>
          </w:p>
        </w:tc>
      </w:tr>
      <w:tr>
        <w:tc>
          <w:tcPr>
            <w:tcW w:type="dxa" w:w="1587"/>
            <w:shd w:val="clear" w:color="auto" w:fill="ffffff"/>
          </w:tcPr>
          <w:p>
            <w:r>
              <w:rPr>
                <w:rFonts w:ascii="Calibri" w:hAnsi="Calibri"/>
                <w:sz w:val="19"/>
              </w:rPr>
              <w:t>FHIR Extension</w:t>
            </w:r>
          </w:p>
        </w:tc>
        <w:tc>
          <w:tcPr>
            <w:tcW w:type="dxa" w:w="680"/>
            <w:shd w:val="clear" w:color="auto" w:fill="ffffff"/>
          </w:tcPr>
          <w:p>
            <w:r>
              <w:rPr>
                <w:rFonts w:ascii="Calibri" w:hAnsi="Calibri"/>
                <w:sz w:val="19"/>
              </w:rPr>
              <w:t>1</w:t>
            </w:r>
          </w:p>
        </w:tc>
        <w:tc>
          <w:tcPr>
            <w:tcW w:type="dxa" w:w="1701"/>
            <w:shd w:val="clear" w:color="auto" w:fill="ffffff"/>
          </w:tcPr>
          <w:p>
            <w:r>
              <w:rPr>
                <w:rFonts w:ascii="Calibri" w:hAnsi="Calibri"/>
                <w:sz w:val="19"/>
              </w:rPr>
              <w:t>NepaliCalendarPeriod</w:t>
            </w:r>
          </w:p>
        </w:tc>
        <w:tc>
          <w:tcPr>
            <w:tcW w:type="dxa" w:w="2268"/>
            <w:shd w:val="clear" w:color="auto" w:fill="ffffff"/>
          </w:tcPr>
          <w:p>
            <w:r>
              <w:rPr>
                <w:rFonts w:ascii="Calibri" w:hAnsi="Calibri"/>
                <w:sz w:val="19"/>
              </w:rPr>
              <w:t>extensions/NepaliCalendarPeriod.fsh</w:t>
            </w:r>
          </w:p>
        </w:tc>
        <w:tc>
          <w:tcPr>
            <w:tcW w:type="dxa" w:w="2948"/>
            <w:shd w:val="clear" w:color="auto" w:fill="ffffff"/>
          </w:tcPr>
          <w:p>
            <w:r>
              <w:rPr>
                <w:rFonts w:ascii="Calibri" w:hAnsi="Calibri"/>
                <w:sz w:val="19"/>
              </w:rPr>
              <w:t>BS calendar sub-extensions on Period element</w:t>
            </w:r>
          </w:p>
        </w:tc>
      </w:tr>
      <w:tr>
        <w:tc>
          <w:tcPr>
            <w:tcW w:type="dxa" w:w="1587"/>
            <w:shd w:val="clear" w:color="auto" w:fill="f9fafb"/>
          </w:tcPr>
          <w:p>
            <w:r>
              <w:rPr>
                <w:rFonts w:ascii="Calibri" w:hAnsi="Calibri"/>
                <w:sz w:val="19"/>
              </w:rPr>
              <w:t>CodeSystem</w:t>
            </w:r>
          </w:p>
        </w:tc>
        <w:tc>
          <w:tcPr>
            <w:tcW w:type="dxa" w:w="680"/>
            <w:shd w:val="clear" w:color="auto" w:fill="f9fafb"/>
          </w:tcPr>
          <w:p>
            <w:r>
              <w:rPr>
                <w:rFonts w:ascii="Calibri" w:hAnsi="Calibri"/>
                <w:sz w:val="19"/>
              </w:rPr>
              <w:t>1</w:t>
            </w:r>
          </w:p>
        </w:tc>
        <w:tc>
          <w:tcPr>
            <w:tcW w:type="dxa" w:w="1701"/>
            <w:shd w:val="clear" w:color="auto" w:fill="f9fafb"/>
          </w:tcPr>
          <w:p>
            <w:r>
              <w:rPr>
                <w:rFonts w:ascii="Calibri" w:hAnsi="Calibri"/>
                <w:sz w:val="19"/>
              </w:rPr>
              <w:t>bs-month-codes</w:t>
            </w:r>
          </w:p>
        </w:tc>
        <w:tc>
          <w:tcPr>
            <w:tcW w:type="dxa" w:w="2268"/>
            <w:shd w:val="clear" w:color="auto" w:fill="f9fafb"/>
          </w:tcPr>
          <w:p>
            <w:r>
              <w:rPr>
                <w:rFonts w:ascii="Calibri" w:hAnsi="Calibri"/>
                <w:sz w:val="19"/>
              </w:rPr>
              <w:t>extensions/NepaliMonths.fsh</w:t>
            </w:r>
          </w:p>
        </w:tc>
        <w:tc>
          <w:tcPr>
            <w:tcW w:type="dxa" w:w="2948"/>
            <w:shd w:val="clear" w:color="auto" w:fill="f9fafb"/>
          </w:tcPr>
          <w:p>
            <w:r>
              <w:rPr>
                <w:rFonts w:ascii="Calibri" w:hAnsi="Calibri"/>
                <w:sz w:val="19"/>
              </w:rPr>
              <w:t>12 Bikram Sambat month names as FHIR codes</w:t>
            </w:r>
          </w:p>
        </w:tc>
      </w:tr>
      <w:tr>
        <w:tc>
          <w:tcPr>
            <w:tcW w:type="dxa" w:w="1587"/>
            <w:shd w:val="clear" w:color="auto" w:fill="ffffff"/>
          </w:tcPr>
          <w:p>
            <w:r>
              <w:rPr>
                <w:rFonts w:ascii="Calibri" w:hAnsi="Calibri"/>
                <w:sz w:val="19"/>
              </w:rPr>
              <w:t>ValueSet</w:t>
            </w:r>
          </w:p>
        </w:tc>
        <w:tc>
          <w:tcPr>
            <w:tcW w:type="dxa" w:w="680"/>
            <w:shd w:val="clear" w:color="auto" w:fill="ffffff"/>
          </w:tcPr>
          <w:p>
            <w:r>
              <w:rPr>
                <w:rFonts w:ascii="Calibri" w:hAnsi="Calibri"/>
                <w:sz w:val="19"/>
              </w:rPr>
              <w:t>1</w:t>
            </w:r>
          </w:p>
        </w:tc>
        <w:tc>
          <w:tcPr>
            <w:tcW w:type="dxa" w:w="1701"/>
            <w:shd w:val="clear" w:color="auto" w:fill="ffffff"/>
          </w:tcPr>
          <w:p>
            <w:r>
              <w:rPr>
                <w:rFonts w:ascii="Calibri" w:hAnsi="Calibri"/>
                <w:sz w:val="19"/>
              </w:rPr>
              <w:t>bs-month-valueset</w:t>
            </w:r>
          </w:p>
        </w:tc>
        <w:tc>
          <w:tcPr>
            <w:tcW w:type="dxa" w:w="2268"/>
            <w:shd w:val="clear" w:color="auto" w:fill="ffffff"/>
          </w:tcPr>
          <w:p>
            <w:r>
              <w:rPr>
                <w:rFonts w:ascii="Calibri" w:hAnsi="Calibri"/>
                <w:sz w:val="19"/>
              </w:rPr>
              <w:t>extensions/NepaliMonths.fsh</w:t>
            </w:r>
          </w:p>
        </w:tc>
        <w:tc>
          <w:tcPr>
            <w:tcW w:type="dxa" w:w="2948"/>
            <w:shd w:val="clear" w:color="auto" w:fill="ffffff"/>
          </w:tcPr>
          <w:p>
            <w:r>
              <w:rPr>
                <w:rFonts w:ascii="Calibri" w:hAnsi="Calibri"/>
                <w:sz w:val="19"/>
              </w:rPr>
              <w:t>Bound to bs-month sub-extension</w:t>
            </w:r>
          </w:p>
        </w:tc>
      </w:tr>
      <w:tr>
        <w:tc>
          <w:tcPr>
            <w:tcW w:type="dxa" w:w="1587"/>
            <w:shd w:val="clear" w:color="auto" w:fill="f9fafb"/>
          </w:tcPr>
          <w:p>
            <w:r>
              <w:rPr>
                <w:rFonts w:ascii="Calibri" w:hAnsi="Calibri"/>
                <w:sz w:val="19"/>
              </w:rPr>
              <w:t>Instances</w:t>
            </w:r>
          </w:p>
        </w:tc>
        <w:tc>
          <w:tcPr>
            <w:tcW w:type="dxa" w:w="680"/>
            <w:shd w:val="clear" w:color="auto" w:fill="f9fafb"/>
          </w:tcPr>
          <w:p>
            <w:r>
              <w:rPr>
                <w:rFonts w:ascii="Calibri" w:hAnsi="Calibri"/>
                <w:sz w:val="19"/>
              </w:rPr>
              <w:t>3</w:t>
            </w:r>
          </w:p>
        </w:tc>
        <w:tc>
          <w:tcPr>
            <w:tcW w:type="dxa" w:w="1701"/>
            <w:shd w:val="clear" w:color="auto" w:fill="f9fafb"/>
          </w:tcPr>
          <w:p>
            <w:r>
              <w:rPr>
                <w:rFonts w:ascii="Calibri" w:hAnsi="Calibri"/>
                <w:sz w:val="19"/>
              </w:rPr>
              <w:t>org-mohp, org-ntp, loc-kathmandu</w:t>
            </w:r>
          </w:p>
        </w:tc>
        <w:tc>
          <w:tcPr>
            <w:tcW w:type="dxa" w:w="2268"/>
            <w:shd w:val="clear" w:color="auto" w:fill="f9fafb"/>
          </w:tcPr>
          <w:p>
            <w:r>
              <w:rPr>
                <w:rFonts w:ascii="Calibri" w:hAnsi="Calibri"/>
                <w:sz w:val="19"/>
              </w:rPr>
              <w:t>instances/SharedResources.fsh</w:t>
            </w:r>
          </w:p>
        </w:tc>
        <w:tc>
          <w:tcPr>
            <w:tcW w:type="dxa" w:w="2948"/>
            <w:shd w:val="clear" w:color="auto" w:fill="f9fafb"/>
          </w:tcPr>
          <w:p>
            <w:r>
              <w:rPr>
                <w:rFonts w:ascii="Calibri" w:hAnsi="Calibri"/>
                <w:sz w:val="19"/>
              </w:rPr>
              <w:t>Canonical Organization + Location anchors</w:t>
            </w:r>
          </w:p>
        </w:tc>
      </w:tr>
      <w:tr>
        <w:tc>
          <w:tcPr>
            <w:tcW w:type="dxa" w:w="1587"/>
            <w:shd w:val="clear" w:color="auto" w:fill="ffffff"/>
          </w:tcPr>
          <w:p>
            <w:r>
              <w:rPr>
                <w:rFonts w:ascii="Calibri" w:hAnsi="Calibri"/>
                <w:sz w:val="19"/>
              </w:rPr>
              <w:t>Example MRs</w:t>
            </w:r>
          </w:p>
        </w:tc>
        <w:tc>
          <w:tcPr>
            <w:tcW w:type="dxa" w:w="680"/>
            <w:shd w:val="clear" w:color="auto" w:fill="ffffff"/>
          </w:tcPr>
          <w:p>
            <w:r>
              <w:rPr>
                <w:rFonts w:ascii="Calibri" w:hAnsi="Calibri"/>
                <w:sz w:val="19"/>
              </w:rPr>
              <w:t>3</w:t>
            </w:r>
          </w:p>
        </w:tc>
        <w:tc>
          <w:tcPr>
            <w:tcW w:type="dxa" w:w="1701"/>
            <w:shd w:val="clear" w:color="auto" w:fill="ffffff"/>
          </w:tcPr>
          <w:p>
            <w:r>
              <w:rPr>
                <w:rFonts w:ascii="Calibri" w:hAnsi="Calibri"/>
                <w:sz w:val="19"/>
              </w:rPr>
              <w:t>ratio, ratio-DAR, cohort</w:t>
            </w:r>
          </w:p>
        </w:tc>
        <w:tc>
          <w:tcPr>
            <w:tcW w:type="dxa" w:w="2268"/>
            <w:shd w:val="clear" w:color="auto" w:fill="ffffff"/>
          </w:tcPr>
          <w:p>
            <w:r>
              <w:rPr>
                <w:rFonts w:ascii="Calibri" w:hAnsi="Calibri"/>
                <w:sz w:val="19"/>
              </w:rPr>
              <w:t>Python ETL (--examples flag)</w:t>
            </w:r>
          </w:p>
        </w:tc>
        <w:tc>
          <w:tcPr>
            <w:tcW w:type="dxa" w:w="2948"/>
            <w:shd w:val="clear" w:color="auto" w:fill="ffffff"/>
          </w:tcPr>
          <w:p>
            <w:r>
              <w:rPr>
                <w:rFonts w:ascii="Calibri" w:hAnsi="Calibri"/>
                <w:sz w:val="19"/>
              </w:rPr>
              <w:t>Representative data patterns for IG validators</w:t>
            </w:r>
          </w:p>
        </w:tc>
      </w:tr>
      <w:tr>
        <w:tc>
          <w:tcPr>
            <w:tcW w:type="dxa" w:w="1587"/>
            <w:shd w:val="clear" w:color="auto" w:fill="f9fafb"/>
          </w:tcPr>
          <w:p>
            <w:r>
              <w:rPr>
                <w:rFonts w:ascii="Calibri" w:hAnsi="Calibri"/>
                <w:sz w:val="19"/>
              </w:rPr>
              <w:t>CI/CD</w:t>
            </w:r>
          </w:p>
        </w:tc>
        <w:tc>
          <w:tcPr>
            <w:tcW w:type="dxa" w:w="680"/>
            <w:shd w:val="clear" w:color="auto" w:fill="f9fafb"/>
          </w:tcPr>
          <w:p>
            <w:r>
              <w:rPr>
                <w:rFonts w:ascii="Calibri" w:hAnsi="Calibri"/>
                <w:sz w:val="19"/>
              </w:rPr>
              <w:t>1</w:t>
            </w:r>
          </w:p>
        </w:tc>
        <w:tc>
          <w:tcPr>
            <w:tcW w:type="dxa" w:w="1701"/>
            <w:shd w:val="clear" w:color="auto" w:fill="f9fafb"/>
          </w:tcPr>
          <w:p>
            <w:r>
              <w:rPr>
                <w:rFonts w:ascii="Calibri" w:hAnsi="Calibri"/>
                <w:sz w:val="19"/>
              </w:rPr>
              <w:t>ig-publish.yml</w:t>
            </w:r>
          </w:p>
        </w:tc>
        <w:tc>
          <w:tcPr>
            <w:tcW w:type="dxa" w:w="2268"/>
            <w:shd w:val="clear" w:color="auto" w:fill="f9fafb"/>
          </w:tcPr>
          <w:p>
            <w:r>
              <w:rPr>
                <w:rFonts w:ascii="Calibri" w:hAnsi="Calibri"/>
                <w:sz w:val="19"/>
              </w:rPr>
              <w:t>.github/workflows/</w:t>
            </w:r>
          </w:p>
        </w:tc>
        <w:tc>
          <w:tcPr>
            <w:tcW w:type="dxa" w:w="2948"/>
            <w:shd w:val="clear" w:color="auto" w:fill="f9fafb"/>
          </w:tcPr>
          <w:p>
            <w:r>
              <w:rPr>
                <w:rFonts w:ascii="Calibri" w:hAnsi="Calibri"/>
                <w:sz w:val="19"/>
              </w:rPr>
              <w:t>SUSHI → IG Publisher → GitHub Pages</w:t>
            </w:r>
          </w:p>
        </w:tc>
      </w:tr>
    </w:tbl>
    <w:p/>
    <w:p>
      <w:pPr>
        <w:pStyle w:val="Heading2"/>
      </w:pPr>
      <w:r>
        <w:t>5.3  Profile Constraints: TBMeasure</w:t>
      </w:r>
    </w:p>
    <w:p>
      <w:pPr>
        <w:spacing w:before="0" w:after="120"/>
        <w:jc w:val="left"/>
      </w:pPr>
      <w:r>
        <w:rPr>
          <w:rFonts w:ascii="Calibri" w:hAnsi="Calibri"/>
          <w:b w:val="0"/>
          <w:i w:val="0"/>
        </w:rPr>
        <w:t>The TBMeasure profile constrains the base FHIR Measure resource to the Nepal NTP TB surveillance context. Key constraints include: url is required (Must Support); identifier must use the IIHMS naming system; version follows semantic versioning; scoring is bound to the MeasureScoring ValueSet (extensible); at least one group is required with at least one population; and each population must include a criteria element with a CQL expression reference.</w:t>
      </w:r>
    </w:p>
    <w:p>
      <w:pPr>
        <w:pStyle w:val="Heading2"/>
      </w:pPr>
      <w:r>
        <w:t>5.4  Profile Constraints: TBMeasureReport</w:t>
      </w:r>
    </w:p>
    <w:p>
      <w:pPr>
        <w:spacing w:before="0" w:after="120"/>
        <w:jc w:val="left"/>
      </w:pPr>
      <w:r>
        <w:rPr>
          <w:rFonts w:ascii="Calibri" w:hAnsi="Calibri"/>
          <w:b w:val="0"/>
          <w:i w:val="0"/>
        </w:rPr>
        <w:t>The TBMeasureReport profile enforces the following fixed constraints: status is fixed to 'complete' (all reports represent finalized data); type is fixed to 'summary' (aggregate population data, not subject-level); subject cardinality is 1..1 and constrained to Location resources (the district-level geographic unit); reporter cardinality is 1..1 and constrained to Organization resources (NTP as the reporting organization); period.extension must include NepaliCalendarPeriod; measureScore.extension must use UCUM unit system with code #1 for dimensionless proportions.</w:t>
      </w:r>
    </w:p>
    <w:p>
      <w:pPr>
        <w:spacing w:before="160" w:after="40"/>
      </w:pPr>
      <w:r>
        <w:rPr>
          <w:i/>
          <w:color w:val="6B7280"/>
          <w:sz w:val="18"/>
        </w:rPr>
        <w:t>Table 5.2 — Profile Constraint Details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984"/>
            <w:shd w:val="clear" w:color="auto" w:fill="1c3761"/>
          </w:tcPr>
          <w:p>
            <w:pPr>
              <w:jc w:val="center"/>
            </w:pPr>
            <w:r>
              <w:rPr>
                <w:rFonts w:ascii="Calibri" w:hAnsi="Calibri"/>
                <w:b/>
                <w:color w:val="FFFFFF"/>
                <w:sz w:val="19"/>
              </w:rPr>
              <w:t>Profile</w:t>
            </w:r>
          </w:p>
        </w:tc>
        <w:tc>
          <w:tcPr>
            <w:tcW w:type="dxa" w:w="1701"/>
            <w:shd w:val="clear" w:color="auto" w:fill="1c3761"/>
          </w:tcPr>
          <w:p>
            <w:pPr>
              <w:jc w:val="center"/>
            </w:pPr>
            <w:r>
              <w:rPr>
                <w:rFonts w:ascii="Calibri" w:hAnsi="Calibri"/>
                <w:b/>
                <w:color w:val="FFFFFF"/>
                <w:sz w:val="19"/>
              </w:rPr>
              <w:t>Constraint</w:t>
            </w:r>
          </w:p>
        </w:tc>
        <w:tc>
          <w:tcPr>
            <w:tcW w:type="dxa" w:w="1417"/>
            <w:shd w:val="clear" w:color="auto" w:fill="1c3761"/>
          </w:tcPr>
          <w:p>
            <w:pPr>
              <w:jc w:val="center"/>
            </w:pPr>
            <w:r>
              <w:rPr>
                <w:rFonts w:ascii="Calibri" w:hAnsi="Calibri"/>
                <w:b/>
                <w:color w:val="FFFFFF"/>
                <w:sz w:val="19"/>
              </w:rPr>
              <w:t>Type</w:t>
            </w:r>
          </w:p>
        </w:tc>
        <w:tc>
          <w:tcPr>
            <w:tcW w:type="dxa" w:w="4082"/>
            <w:shd w:val="clear" w:color="auto" w:fill="1c3761"/>
          </w:tcPr>
          <w:p>
            <w:pPr>
              <w:jc w:val="center"/>
            </w:pPr>
            <w:r>
              <w:rPr>
                <w:rFonts w:ascii="Calibri" w:hAnsi="Calibri"/>
                <w:b/>
                <w:color w:val="FFFFFF"/>
                <w:sz w:val="19"/>
              </w:rPr>
              <w:t>Enforced Value / Binding</w:t>
            </w:r>
          </w:p>
        </w:tc>
      </w:tr>
      <w:tr>
        <w:tc>
          <w:tcPr>
            <w:tcW w:type="dxa" w:w="1984"/>
            <w:shd w:val="clear" w:color="auto" w:fill="ffffff"/>
          </w:tcPr>
          <w:p>
            <w:r>
              <w:rPr>
                <w:rFonts w:ascii="Calibri" w:hAnsi="Calibri"/>
                <w:sz w:val="19"/>
              </w:rPr>
              <w:t>TBMeasure</w:t>
            </w:r>
          </w:p>
        </w:tc>
        <w:tc>
          <w:tcPr>
            <w:tcW w:type="dxa" w:w="1701"/>
            <w:shd w:val="clear" w:color="auto" w:fill="ffffff"/>
          </w:tcPr>
          <w:p>
            <w:r>
              <w:rPr>
                <w:rFonts w:ascii="Calibri" w:hAnsi="Calibri"/>
                <w:sz w:val="19"/>
              </w:rPr>
              <w:t>status</w:t>
            </w:r>
          </w:p>
        </w:tc>
        <w:tc>
          <w:tcPr>
            <w:tcW w:type="dxa" w:w="1417"/>
            <w:shd w:val="clear" w:color="auto" w:fill="ffffff"/>
          </w:tcPr>
          <w:p>
            <w:r>
              <w:rPr>
                <w:rFonts w:ascii="Calibri" w:hAnsi="Calibri"/>
                <w:sz w:val="19"/>
              </w:rPr>
              <w:t>Fixed</w:t>
            </w:r>
          </w:p>
        </w:tc>
        <w:tc>
          <w:tcPr>
            <w:tcW w:type="dxa" w:w="4082"/>
            <w:shd w:val="clear" w:color="auto" w:fill="ffffff"/>
          </w:tcPr>
          <w:p>
            <w:r>
              <w:rPr>
                <w:rFonts w:ascii="Calibri" w:hAnsi="Calibri"/>
                <w:sz w:val="19"/>
              </w:rPr>
              <w:t>active</w:t>
            </w:r>
          </w:p>
        </w:tc>
      </w:tr>
      <w:tr>
        <w:tc>
          <w:tcPr>
            <w:tcW w:type="dxa" w:w="1984"/>
            <w:shd w:val="clear" w:color="auto" w:fill="f9fafb"/>
          </w:tcPr>
          <w:p>
            <w:r>
              <w:rPr>
                <w:rFonts w:ascii="Calibri" w:hAnsi="Calibri"/>
                <w:sz w:val="19"/>
              </w:rPr>
              <w:t>TBMeasure</w:t>
            </w:r>
          </w:p>
        </w:tc>
        <w:tc>
          <w:tcPr>
            <w:tcW w:type="dxa" w:w="1701"/>
            <w:shd w:val="clear" w:color="auto" w:fill="f9fafb"/>
          </w:tcPr>
          <w:p>
            <w:r>
              <w:rPr>
                <w:rFonts w:ascii="Calibri" w:hAnsi="Calibri"/>
                <w:sz w:val="19"/>
              </w:rPr>
              <w:t>scoring</w:t>
            </w:r>
          </w:p>
        </w:tc>
        <w:tc>
          <w:tcPr>
            <w:tcW w:type="dxa" w:w="1417"/>
            <w:shd w:val="clear" w:color="auto" w:fill="f9fafb"/>
          </w:tcPr>
          <w:p>
            <w:r>
              <w:rPr>
                <w:rFonts w:ascii="Calibri" w:hAnsi="Calibri"/>
                <w:sz w:val="19"/>
              </w:rPr>
              <w:t>Extensible binding</w:t>
            </w:r>
          </w:p>
        </w:tc>
        <w:tc>
          <w:tcPr>
            <w:tcW w:type="dxa" w:w="4082"/>
            <w:shd w:val="clear" w:color="auto" w:fill="f9fafb"/>
          </w:tcPr>
          <w:p>
            <w:r>
              <w:rPr>
                <w:rFonts w:ascii="Calibri" w:hAnsi="Calibri"/>
                <w:sz w:val="19"/>
              </w:rPr>
              <w:t>MeasureScoring VS</w:t>
            </w:r>
          </w:p>
        </w:tc>
      </w:tr>
      <w:tr>
        <w:tc>
          <w:tcPr>
            <w:tcW w:type="dxa" w:w="1984"/>
            <w:shd w:val="clear" w:color="auto" w:fill="ffffff"/>
          </w:tcPr>
          <w:p>
            <w:r>
              <w:rPr>
                <w:rFonts w:ascii="Calibri" w:hAnsi="Calibri"/>
                <w:sz w:val="19"/>
              </w:rPr>
              <w:t>TBMeasure</w:t>
            </w:r>
          </w:p>
        </w:tc>
        <w:tc>
          <w:tcPr>
            <w:tcW w:type="dxa" w:w="1701"/>
            <w:shd w:val="clear" w:color="auto" w:fill="ffffff"/>
          </w:tcPr>
          <w:p>
            <w:r>
              <w:rPr>
                <w:rFonts w:ascii="Calibri" w:hAnsi="Calibri"/>
                <w:sz w:val="19"/>
              </w:rPr>
              <w:t>group</w:t>
            </w:r>
          </w:p>
        </w:tc>
        <w:tc>
          <w:tcPr>
            <w:tcW w:type="dxa" w:w="1417"/>
            <w:shd w:val="clear" w:color="auto" w:fill="ffffff"/>
          </w:tcPr>
          <w:p>
            <w:r>
              <w:rPr>
                <w:rFonts w:ascii="Calibri" w:hAnsi="Calibri"/>
                <w:sz w:val="19"/>
              </w:rPr>
              <w:t>Min cardinality</w:t>
            </w:r>
          </w:p>
        </w:tc>
        <w:tc>
          <w:tcPr>
            <w:tcW w:type="dxa" w:w="4082"/>
            <w:shd w:val="clear" w:color="auto" w:fill="ffffff"/>
          </w:tcPr>
          <w:p>
            <w:r>
              <w:rPr>
                <w:rFonts w:ascii="Calibri" w:hAnsi="Calibri"/>
                <w:sz w:val="19"/>
              </w:rPr>
              <w:t>1..* required</w:t>
            </w:r>
          </w:p>
        </w:tc>
      </w:tr>
      <w:tr>
        <w:tc>
          <w:tcPr>
            <w:tcW w:type="dxa" w:w="1984"/>
            <w:shd w:val="clear" w:color="auto" w:fill="f9fafb"/>
          </w:tcPr>
          <w:p>
            <w:r>
              <w:rPr>
                <w:rFonts w:ascii="Calibri" w:hAnsi="Calibri"/>
                <w:sz w:val="19"/>
              </w:rPr>
              <w:t>TBMeasureReport</w:t>
            </w:r>
          </w:p>
        </w:tc>
        <w:tc>
          <w:tcPr>
            <w:tcW w:type="dxa" w:w="1701"/>
            <w:shd w:val="clear" w:color="auto" w:fill="f9fafb"/>
          </w:tcPr>
          <w:p>
            <w:r>
              <w:rPr>
                <w:rFonts w:ascii="Calibri" w:hAnsi="Calibri"/>
                <w:sz w:val="19"/>
              </w:rPr>
              <w:t>status</w:t>
            </w:r>
          </w:p>
        </w:tc>
        <w:tc>
          <w:tcPr>
            <w:tcW w:type="dxa" w:w="1417"/>
            <w:shd w:val="clear" w:color="auto" w:fill="f9fafb"/>
          </w:tcPr>
          <w:p>
            <w:r>
              <w:rPr>
                <w:rFonts w:ascii="Calibri" w:hAnsi="Calibri"/>
                <w:sz w:val="19"/>
              </w:rPr>
              <w:t>Fixed</w:t>
            </w:r>
          </w:p>
        </w:tc>
        <w:tc>
          <w:tcPr>
            <w:tcW w:type="dxa" w:w="4082"/>
            <w:shd w:val="clear" w:color="auto" w:fill="f9fafb"/>
          </w:tcPr>
          <w:p>
            <w:r>
              <w:rPr>
                <w:rFonts w:ascii="Calibri" w:hAnsi="Calibri"/>
                <w:sz w:val="19"/>
              </w:rPr>
              <w:t>complete</w:t>
            </w:r>
          </w:p>
        </w:tc>
      </w:tr>
      <w:tr>
        <w:tc>
          <w:tcPr>
            <w:tcW w:type="dxa" w:w="1984"/>
            <w:shd w:val="clear" w:color="auto" w:fill="ffffff"/>
          </w:tcPr>
          <w:p>
            <w:r>
              <w:rPr>
                <w:rFonts w:ascii="Calibri" w:hAnsi="Calibri"/>
                <w:sz w:val="19"/>
              </w:rPr>
              <w:t>TBMeasureReport</w:t>
            </w:r>
          </w:p>
        </w:tc>
        <w:tc>
          <w:tcPr>
            <w:tcW w:type="dxa" w:w="1701"/>
            <w:shd w:val="clear" w:color="auto" w:fill="ffffff"/>
          </w:tcPr>
          <w:p>
            <w:r>
              <w:rPr>
                <w:rFonts w:ascii="Calibri" w:hAnsi="Calibri"/>
                <w:sz w:val="19"/>
              </w:rPr>
              <w:t>type</w:t>
            </w:r>
          </w:p>
        </w:tc>
        <w:tc>
          <w:tcPr>
            <w:tcW w:type="dxa" w:w="1417"/>
            <w:shd w:val="clear" w:color="auto" w:fill="ffffff"/>
          </w:tcPr>
          <w:p>
            <w:r>
              <w:rPr>
                <w:rFonts w:ascii="Calibri" w:hAnsi="Calibri"/>
                <w:sz w:val="19"/>
              </w:rPr>
              <w:t>Fixed</w:t>
            </w:r>
          </w:p>
        </w:tc>
        <w:tc>
          <w:tcPr>
            <w:tcW w:type="dxa" w:w="4082"/>
            <w:shd w:val="clear" w:color="auto" w:fill="ffffff"/>
          </w:tcPr>
          <w:p>
            <w:r>
              <w:rPr>
                <w:rFonts w:ascii="Calibri" w:hAnsi="Calibri"/>
                <w:sz w:val="19"/>
              </w:rPr>
              <w:t>summary</w:t>
            </w:r>
          </w:p>
        </w:tc>
      </w:tr>
      <w:tr>
        <w:tc>
          <w:tcPr>
            <w:tcW w:type="dxa" w:w="1984"/>
            <w:shd w:val="clear" w:color="auto" w:fill="f9fafb"/>
          </w:tcPr>
          <w:p>
            <w:r>
              <w:rPr>
                <w:rFonts w:ascii="Calibri" w:hAnsi="Calibri"/>
                <w:sz w:val="19"/>
              </w:rPr>
              <w:t>TBMeasureReport</w:t>
            </w:r>
          </w:p>
        </w:tc>
        <w:tc>
          <w:tcPr>
            <w:tcW w:type="dxa" w:w="1701"/>
            <w:shd w:val="clear" w:color="auto" w:fill="f9fafb"/>
          </w:tcPr>
          <w:p>
            <w:r>
              <w:rPr>
                <w:rFonts w:ascii="Calibri" w:hAnsi="Calibri"/>
                <w:sz w:val="19"/>
              </w:rPr>
              <w:t>subject</w:t>
            </w:r>
          </w:p>
        </w:tc>
        <w:tc>
          <w:tcPr>
            <w:tcW w:type="dxa" w:w="1417"/>
            <w:shd w:val="clear" w:color="auto" w:fill="f9fafb"/>
          </w:tcPr>
          <w:p>
            <w:r>
              <w:rPr>
                <w:rFonts w:ascii="Calibri" w:hAnsi="Calibri"/>
                <w:sz w:val="19"/>
              </w:rPr>
              <w:t>Cardinality + type</w:t>
            </w:r>
          </w:p>
        </w:tc>
        <w:tc>
          <w:tcPr>
            <w:tcW w:type="dxa" w:w="4082"/>
            <w:shd w:val="clear" w:color="auto" w:fill="f9fafb"/>
          </w:tcPr>
          <w:p>
            <w:r>
              <w:rPr>
                <w:rFonts w:ascii="Calibri" w:hAnsi="Calibri"/>
                <w:sz w:val="19"/>
              </w:rPr>
              <w:t>1..1 Reference(Location)</w:t>
            </w:r>
          </w:p>
        </w:tc>
      </w:tr>
      <w:tr>
        <w:tc>
          <w:tcPr>
            <w:tcW w:type="dxa" w:w="1984"/>
            <w:shd w:val="clear" w:color="auto" w:fill="ffffff"/>
          </w:tcPr>
          <w:p>
            <w:r>
              <w:rPr>
                <w:rFonts w:ascii="Calibri" w:hAnsi="Calibri"/>
                <w:sz w:val="19"/>
              </w:rPr>
              <w:t>TBMeasureReport</w:t>
            </w:r>
          </w:p>
        </w:tc>
        <w:tc>
          <w:tcPr>
            <w:tcW w:type="dxa" w:w="1701"/>
            <w:shd w:val="clear" w:color="auto" w:fill="ffffff"/>
          </w:tcPr>
          <w:p>
            <w:r>
              <w:rPr>
                <w:rFonts w:ascii="Calibri" w:hAnsi="Calibri"/>
                <w:sz w:val="19"/>
              </w:rPr>
              <w:t>reporter</w:t>
            </w:r>
          </w:p>
        </w:tc>
        <w:tc>
          <w:tcPr>
            <w:tcW w:type="dxa" w:w="1417"/>
            <w:shd w:val="clear" w:color="auto" w:fill="ffffff"/>
          </w:tcPr>
          <w:p>
            <w:r>
              <w:rPr>
                <w:rFonts w:ascii="Calibri" w:hAnsi="Calibri"/>
                <w:sz w:val="19"/>
              </w:rPr>
              <w:t>Cardinality + type</w:t>
            </w:r>
          </w:p>
        </w:tc>
        <w:tc>
          <w:tcPr>
            <w:tcW w:type="dxa" w:w="4082"/>
            <w:shd w:val="clear" w:color="auto" w:fill="ffffff"/>
          </w:tcPr>
          <w:p>
            <w:r>
              <w:rPr>
                <w:rFonts w:ascii="Calibri" w:hAnsi="Calibri"/>
                <w:sz w:val="19"/>
              </w:rPr>
              <w:t>1..1 Reference(Organization)</w:t>
            </w:r>
          </w:p>
        </w:tc>
      </w:tr>
      <w:tr>
        <w:tc>
          <w:tcPr>
            <w:tcW w:type="dxa" w:w="1984"/>
            <w:shd w:val="clear" w:color="auto" w:fill="f9fafb"/>
          </w:tcPr>
          <w:p>
            <w:r>
              <w:rPr>
                <w:rFonts w:ascii="Calibri" w:hAnsi="Calibri"/>
                <w:sz w:val="19"/>
              </w:rPr>
              <w:t>TBMeasureReport</w:t>
            </w:r>
          </w:p>
        </w:tc>
        <w:tc>
          <w:tcPr>
            <w:tcW w:type="dxa" w:w="1701"/>
            <w:shd w:val="clear" w:color="auto" w:fill="f9fafb"/>
          </w:tcPr>
          <w:p>
            <w:r>
              <w:rPr>
                <w:rFonts w:ascii="Calibri" w:hAnsi="Calibri"/>
                <w:sz w:val="19"/>
              </w:rPr>
              <w:t>period.extension</w:t>
            </w:r>
          </w:p>
        </w:tc>
        <w:tc>
          <w:tcPr>
            <w:tcW w:type="dxa" w:w="1417"/>
            <w:shd w:val="clear" w:color="auto" w:fill="f9fafb"/>
          </w:tcPr>
          <w:p>
            <w:r>
              <w:rPr>
                <w:rFonts w:ascii="Calibri" w:hAnsi="Calibri"/>
                <w:sz w:val="19"/>
              </w:rPr>
              <w:t>Must Support</w:t>
            </w:r>
          </w:p>
        </w:tc>
        <w:tc>
          <w:tcPr>
            <w:tcW w:type="dxa" w:w="4082"/>
            <w:shd w:val="clear" w:color="auto" w:fill="f9fafb"/>
          </w:tcPr>
          <w:p>
            <w:r>
              <w:rPr>
                <w:rFonts w:ascii="Calibri" w:hAnsi="Calibri"/>
                <w:sz w:val="19"/>
              </w:rPr>
              <w:t>NepaliCalendarPeriod</w:t>
            </w:r>
          </w:p>
        </w:tc>
      </w:tr>
      <w:tr>
        <w:tc>
          <w:tcPr>
            <w:tcW w:type="dxa" w:w="1984"/>
            <w:shd w:val="clear" w:color="auto" w:fill="ffffff"/>
          </w:tcPr>
          <w:p>
            <w:r>
              <w:rPr>
                <w:rFonts w:ascii="Calibri" w:hAnsi="Calibri"/>
                <w:sz w:val="19"/>
              </w:rPr>
              <w:t>TBMeasureReport</w:t>
            </w:r>
          </w:p>
        </w:tc>
        <w:tc>
          <w:tcPr>
            <w:tcW w:type="dxa" w:w="1701"/>
            <w:shd w:val="clear" w:color="auto" w:fill="ffffff"/>
          </w:tcPr>
          <w:p>
            <w:r>
              <w:rPr>
                <w:rFonts w:ascii="Calibri" w:hAnsi="Calibri"/>
                <w:sz w:val="19"/>
              </w:rPr>
              <w:t>measureScore.extension</w:t>
            </w:r>
          </w:p>
        </w:tc>
        <w:tc>
          <w:tcPr>
            <w:tcW w:type="dxa" w:w="1417"/>
            <w:shd w:val="clear" w:color="auto" w:fill="ffffff"/>
          </w:tcPr>
          <w:p>
            <w:r>
              <w:rPr>
                <w:rFonts w:ascii="Calibri" w:hAnsi="Calibri"/>
                <w:sz w:val="19"/>
              </w:rPr>
              <w:t>Unit</w:t>
            </w:r>
          </w:p>
        </w:tc>
        <w:tc>
          <w:tcPr>
            <w:tcW w:type="dxa" w:w="4082"/>
            <w:shd w:val="clear" w:color="auto" w:fill="ffffff"/>
          </w:tcPr>
          <w:p>
            <w:r>
              <w:rPr>
                <w:rFonts w:ascii="Calibri" w:hAnsi="Calibri"/>
                <w:sz w:val="19"/>
              </w:rPr>
              <w:t>UCUM #1</w:t>
            </w:r>
          </w:p>
        </w:tc>
      </w:tr>
    </w:tbl>
    <w:p/>
    <w:p>
      <w:pPr>
        <w:pStyle w:val="Heading2"/>
      </w:pPr>
      <w:r>
        <w:t>5.5  CI/CD Pipeline</w:t>
      </w:r>
    </w:p>
    <w:p>
      <w:pPr>
        <w:spacing w:before="0" w:after="120"/>
        <w:jc w:val="left"/>
      </w:pPr>
      <w:r>
        <w:rPr>
          <w:rFonts w:ascii="Calibri" w:hAnsi="Calibri"/>
          <w:b w:val="0"/>
          <w:i w:val="0"/>
        </w:rPr>
        <w:t>The GitHub Actions workflow (ig-publish.yml) automates the full IG build and deployment pipeline. It triggers on any push to the main branch that modifies the ig/ directory. The 10-stage pipeline installs Java 17, Node.js 20, and SUSHI; runs the FSH compiler; generates Python ETL examples; installs Ruby and Jekyll for template rendering; downloads the latest IG Publisher JAR; runs the IG Publisher against the FHIR terminology server; and deploys the output to GitHub Pages. Zero manual steps are required after an FSH commit.</w:t>
      </w:r>
    </w:p>
    <w:tbl>
      <w:tblPr>
        <w:tblStyle w:val="TableGrid"/>
        <w:tblW w:type="auto" w:w="0"/>
        <w:tblLook w:firstColumn="1" w:firstRow="1" w:lastColumn="0" w:lastRow="0" w:noHBand="0" w:noVBand="1" w:val="04A0"/>
      </w:tblPr>
      <w:tblGrid>
        <w:gridCol w:w="9072"/>
      </w:tblGrid>
      <w:tr>
        <w:tc>
          <w:tcPr>
            <w:tcW w:type="dxa" w:w="9072"/>
            <w:shd w:val="clear" w:color="auto" w:fill="eff6ff"/>
          </w:tcPr>
          <w:p>
            <w:pPr>
              <w:spacing w:before="60" w:after="60"/>
            </w:pPr>
            <w:r>
              <w:rPr>
                <w:b/>
                <w:color w:val="1C3761"/>
                <w:sz w:val="19"/>
              </w:rPr>
              <w:t xml:space="preserve">NOTE:  </w:t>
            </w:r>
            <w:r>
              <w:rPr>
                <w:color w:val="1F2937"/>
                <w:sz w:val="19"/>
              </w:rPr>
              <w:t>The CI/CD pipeline ensures the published IG at https://iihms.gov.np/fhir always reflects the latest FSH source. Typical build time: 8–12 minutes.</w:t>
            </w:r>
          </w:p>
        </w:tc>
      </w:tr>
    </w:tbl>
    <w:p/>
    <w:p>
      <w:r>
        <w:br w:type="page"/>
      </w:r>
    </w:p>
    <w:p>
      <w:pPr>
        <w:pStyle w:val="Heading1"/>
      </w:pPr>
      <w:r>
        <w:t>Phase 6 — Gap Analysis &amp; Sensitivity Testing</w:t>
      </w:r>
    </w:p>
    <w:tbl>
      <w:tblPr>
        <w:tblStyle w:val="TableGrid"/>
        <w:tblW w:type="auto" w:w="0"/>
        <w:jc w:val="center"/>
        <w:tblLook w:firstColumn="1" w:firstRow="1" w:lastColumn="0" w:lastRow="0" w:noHBand="0" w:noVBand="1" w:val="04A0"/>
      </w:tblPr>
      <w:tblGrid>
        <w:gridCol w:w="9072"/>
      </w:tblGrid>
      <w:tr>
        <w:tc>
          <w:tcPr>
            <w:tcW w:type="dxa" w:w="9072"/>
            <w:shd w:val="clear" w:color="auto" w:fill="eff6ff"/>
          </w:tcPr>
          <w:p>
            <w:pPr>
              <w:spacing w:before="80" w:after="80"/>
            </w:pPr>
            <w:r>
              <w:rPr>
                <w:b/>
                <w:color w:val="1C3761"/>
                <w:sz w:val="22"/>
              </w:rPr>
              <w:t>PHASE 6  —  Gap Analysis &amp; Sensitivity Testing</w:t>
              <w:br/>
            </w:r>
            <w:r>
              <w:rPr>
                <w:b/>
                <w:color w:val="1C3761"/>
                <w:sz w:val="19"/>
              </w:rPr>
              <w:t xml:space="preserve">Objective: </w:t>
            </w:r>
            <w:r>
              <w:rPr>
                <w:color w:val="374151"/>
                <w:sz w:val="19"/>
              </w:rPr>
              <w:t>Validate statistical integrity of all 60 months via outlier detection, sensitivity analysis, and formal structural gap documentation.</w:t>
              <w:br/>
            </w:r>
            <w:r>
              <w:rPr>
                <w:b/>
                <w:color w:val="1C3761"/>
                <w:sz w:val="19"/>
              </w:rPr>
              <w:t xml:space="preserve">Inputs: </w:t>
            </w:r>
            <w:r>
              <w:rPr>
                <w:color w:val="374151"/>
                <w:sz w:val="19"/>
              </w:rPr>
              <w:t>data/final/final_cleaned_data.csv (60×37)</w:t>
              <w:br/>
            </w:r>
            <w:r>
              <w:rPr>
                <w:b/>
                <w:color w:val="1C3761"/>
                <w:sz w:val="19"/>
              </w:rPr>
              <w:t xml:space="preserve">Outputs: </w:t>
            </w:r>
            <w:r>
              <w:rPr>
                <w:color w:val="374151"/>
                <w:sz w:val="19"/>
              </w:rPr>
              <w:t>08_Kathmandu_Outlier_Detection_Report.txt, 08_Kathmandu_Sensitivity_Analysis_Report.txt</w:t>
              <w:br/>
            </w:r>
            <w:r>
              <w:rPr>
                <w:b/>
                <w:color w:val="1C3761"/>
                <w:sz w:val="19"/>
              </w:rPr>
              <w:t xml:space="preserve">Scripts: </w:t>
            </w:r>
            <w:r>
              <w:rPr>
                <w:color w:val="374151"/>
                <w:sz w:val="19"/>
              </w:rPr>
              <w:t>08_gap_analysis/01_outlier_detection.py, 02_sensitivity_analysis.py</w:t>
              <w:br/>
            </w:r>
          </w:p>
        </w:tc>
      </w:tr>
    </w:tbl>
    <w:p/>
    <w:p>
      <w:pPr>
        <w:pStyle w:val="Heading2"/>
      </w:pPr>
      <w:r>
        <w:t>6.1  Analytical Framework</w:t>
      </w:r>
    </w:p>
    <w:p>
      <w:pPr>
        <w:spacing w:before="0" w:after="120"/>
        <w:jc w:val="left"/>
      </w:pPr>
      <w:r>
        <w:rPr>
          <w:rFonts w:ascii="Calibri" w:hAnsi="Calibri"/>
          <w:b w:val="0"/>
          <w:i w:val="0"/>
        </w:rPr>
        <w:t>Phase 6 applies a three-component analytical framework. Component 1 is a two-pass outlier detection strategy that tests each variable at its natural observation count (60 months for all-month variables, 57 months for sex/age variables). Component 2 is an IQR fence multiplier sensitivity analysis that tests the robustness of outlier classification across multipliers 1.5×, 2.0×, 2.5×, and 3.0×. Component 3 is a formal structural gap analysis that quantifies the epidemiological impact of the 3-month reporting absence and documents it per FHIR DAR specification.</w:t>
      </w:r>
    </w:p>
    <w:p>
      <w:pPr>
        <w:spacing w:before="0" w:after="120"/>
        <w:jc w:val="left"/>
      </w:pPr>
      <w:r>
        <w:rPr>
          <w:rFonts w:ascii="Calibri" w:hAnsi="Calibri"/>
          <w:b w:val="0"/>
          <w:i w:val="0"/>
        </w:rPr>
        <w:t>Pass 1 covers 10 all-month variables (60 observations). Pass 2 covers 24 sex/age-disaggregated variables (57 observations, gap months excluded). Both passes use two concurrent methods: IQR fencing (flag if value &lt; Q1 - 1.5×IQR or &gt; Q3 + 1.5×IQR) and Z-score (flag if |z| &gt; 2.5, equivalent to ~1.2% tail probability).</w:t>
      </w:r>
    </w:p>
    <w:p>
      <w:pPr>
        <w:pStyle w:val="Heading2"/>
      </w:pPr>
      <w:r>
        <w:t>6.2  Outlier Detection Results</w:t>
      </w:r>
    </w:p>
    <w:p>
      <w:pPr>
        <w:jc w:val="center"/>
      </w:pPr>
      <w:r>
        <w:drawing>
          <wp:inline xmlns:a="http://schemas.openxmlformats.org/drawingml/2006/main" xmlns:pic="http://schemas.openxmlformats.org/drawingml/2006/picture">
            <wp:extent cx="5486400" cy="2899954"/>
            <wp:docPr id="16" name="Picture 16"/>
            <wp:cNvGraphicFramePr>
              <a:graphicFrameLocks noChangeAspect="1"/>
            </wp:cNvGraphicFramePr>
            <a:graphic>
              <a:graphicData uri="http://schemas.openxmlformats.org/drawingml/2006/picture">
                <pic:pic>
                  <pic:nvPicPr>
                    <pic:cNvPr id="0" name="chart_016.png"/>
                    <pic:cNvPicPr/>
                  </pic:nvPicPr>
                  <pic:blipFill>
                    <a:blip r:embed="rId24"/>
                    <a:stretch>
                      <a:fillRect/>
                    </a:stretch>
                  </pic:blipFill>
                  <pic:spPr>
                    <a:xfrm>
                      <a:off x="0" y="0"/>
                      <a:ext cx="5486400" cy="2899954"/>
                    </a:xfrm>
                    <a:prstGeom prst="rect"/>
                  </pic:spPr>
                </pic:pic>
              </a:graphicData>
            </a:graphic>
          </wp:inline>
        </w:drawing>
      </w:r>
    </w:p>
    <w:p>
      <w:pPr>
        <w:spacing w:before="40" w:after="160"/>
        <w:jc w:val="center"/>
      </w:pPr>
      <w:r>
        <w:rPr>
          <w:i/>
          <w:color w:val="6B7280"/>
          <w:sz w:val="18"/>
        </w:rPr>
        <w:t>Figure 6.1 — Box plots for 6 key variables; dots outside whiskers = IQR outliers</w:t>
      </w:r>
    </w:p>
    <w:p>
      <w:pPr>
        <w:spacing w:before="160" w:after="40"/>
      </w:pPr>
      <w:r>
        <w:rPr>
          <w:i/>
          <w:color w:val="6B7280"/>
          <w:sz w:val="18"/>
        </w:rPr>
        <w:t>Table 6.1 — Outlier Detection Full Results</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984"/>
            <w:shd w:val="clear" w:color="auto" w:fill="1c3761"/>
          </w:tcPr>
          <w:p>
            <w:pPr>
              <w:jc w:val="center"/>
            </w:pPr>
            <w:r>
              <w:rPr>
                <w:rFonts w:ascii="Calibri" w:hAnsi="Calibri"/>
                <w:b/>
                <w:color w:val="FFFFFF"/>
                <w:sz w:val="19"/>
              </w:rPr>
              <w:t>Variable</w:t>
            </w:r>
          </w:p>
        </w:tc>
        <w:tc>
          <w:tcPr>
            <w:tcW w:type="dxa" w:w="567"/>
            <w:shd w:val="clear" w:color="auto" w:fill="1c3761"/>
          </w:tcPr>
          <w:p>
            <w:pPr>
              <w:jc w:val="center"/>
            </w:pPr>
            <w:r>
              <w:rPr>
                <w:rFonts w:ascii="Calibri" w:hAnsi="Calibri"/>
                <w:b/>
                <w:color w:val="FFFFFF"/>
                <w:sz w:val="19"/>
              </w:rPr>
              <w:t>Pass</w:t>
            </w:r>
          </w:p>
        </w:tc>
        <w:tc>
          <w:tcPr>
            <w:tcW w:type="dxa" w:w="567"/>
            <w:shd w:val="clear" w:color="auto" w:fill="1c3761"/>
          </w:tcPr>
          <w:p>
            <w:pPr>
              <w:jc w:val="center"/>
            </w:pPr>
            <w:r>
              <w:rPr>
                <w:rFonts w:ascii="Calibri" w:hAnsi="Calibri"/>
                <w:b/>
                <w:color w:val="FFFFFF"/>
                <w:sz w:val="19"/>
              </w:rPr>
              <w:t>Obs</w:t>
            </w:r>
          </w:p>
        </w:tc>
        <w:tc>
          <w:tcPr>
            <w:tcW w:type="dxa" w:w="1134"/>
            <w:shd w:val="clear" w:color="auto" w:fill="1c3761"/>
          </w:tcPr>
          <w:p>
            <w:pPr>
              <w:jc w:val="center"/>
            </w:pPr>
            <w:r>
              <w:rPr>
                <w:rFonts w:ascii="Calibri" w:hAnsi="Calibri"/>
                <w:b/>
                <w:color w:val="FFFFFF"/>
                <w:sz w:val="19"/>
              </w:rPr>
              <w:t>IQR Outliers</w:t>
            </w:r>
          </w:p>
        </w:tc>
        <w:tc>
          <w:tcPr>
            <w:tcW w:type="dxa" w:w="850"/>
            <w:shd w:val="clear" w:color="auto" w:fill="1c3761"/>
          </w:tcPr>
          <w:p>
            <w:pPr>
              <w:jc w:val="center"/>
            </w:pPr>
            <w:r>
              <w:rPr>
                <w:rFonts w:ascii="Calibri" w:hAnsi="Calibri"/>
                <w:b/>
                <w:color w:val="FFFFFF"/>
                <w:sz w:val="19"/>
              </w:rPr>
              <w:t>Z&gt;2.5</w:t>
            </w:r>
          </w:p>
        </w:tc>
        <w:tc>
          <w:tcPr>
            <w:tcW w:type="dxa" w:w="1701"/>
            <w:shd w:val="clear" w:color="auto" w:fill="1c3761"/>
          </w:tcPr>
          <w:p>
            <w:pPr>
              <w:jc w:val="center"/>
            </w:pPr>
            <w:r>
              <w:rPr>
                <w:rFonts w:ascii="Calibri" w:hAnsi="Calibri"/>
                <w:b/>
                <w:color w:val="FFFFFF"/>
                <w:sz w:val="19"/>
              </w:rPr>
              <w:t>Specific Months</w:t>
            </w:r>
          </w:p>
        </w:tc>
        <w:tc>
          <w:tcPr>
            <w:tcW w:type="dxa" w:w="2381"/>
            <w:shd w:val="clear" w:color="auto" w:fill="1c3761"/>
          </w:tcPr>
          <w:p>
            <w:pPr>
              <w:jc w:val="center"/>
            </w:pPr>
            <w:r>
              <w:rPr>
                <w:rFonts w:ascii="Calibri" w:hAnsi="Calibri"/>
                <w:b/>
                <w:color w:val="FFFFFF"/>
                <w:sz w:val="19"/>
              </w:rPr>
              <w:t>Assessment</w:t>
            </w:r>
          </w:p>
        </w:tc>
      </w:tr>
      <w:tr>
        <w:tc>
          <w:tcPr>
            <w:tcW w:type="dxa" w:w="1984"/>
            <w:shd w:val="clear" w:color="auto" w:fill="ffffff"/>
          </w:tcPr>
          <w:p>
            <w:r>
              <w:rPr>
                <w:rFonts w:ascii="Calibri" w:hAnsi="Calibri"/>
                <w:sz w:val="19"/>
              </w:rPr>
              <w:t>new_cases_total</w:t>
            </w:r>
          </w:p>
        </w:tc>
        <w:tc>
          <w:tcPr>
            <w:tcW w:type="dxa" w:w="567"/>
            <w:shd w:val="clear" w:color="auto" w:fill="ffffff"/>
          </w:tcPr>
          <w:p>
            <w:r>
              <w:rPr>
                <w:rFonts w:ascii="Calibri" w:hAnsi="Calibri"/>
                <w:sz w:val="19"/>
              </w:rPr>
              <w:t>1</w:t>
            </w:r>
          </w:p>
        </w:tc>
        <w:tc>
          <w:tcPr>
            <w:tcW w:type="dxa" w:w="567"/>
            <w:shd w:val="clear" w:color="auto" w:fill="ffffff"/>
          </w:tcPr>
          <w:p>
            <w:r>
              <w:rPr>
                <w:rFonts w:ascii="Calibri" w:hAnsi="Calibri"/>
                <w:sz w:val="19"/>
              </w:rPr>
              <w:t>60</w:t>
            </w:r>
          </w:p>
        </w:tc>
        <w:tc>
          <w:tcPr>
            <w:tcW w:type="dxa" w:w="1134"/>
            <w:shd w:val="clear" w:color="auto" w:fill="ffffff"/>
          </w:tcPr>
          <w:p>
            <w:r>
              <w:rPr>
                <w:rFonts w:ascii="Calibri" w:hAnsi="Calibri"/>
                <w:sz w:val="19"/>
              </w:rPr>
              <w:t>0</w:t>
            </w:r>
          </w:p>
        </w:tc>
        <w:tc>
          <w:tcPr>
            <w:tcW w:type="dxa" w:w="850"/>
            <w:shd w:val="clear" w:color="auto" w:fill="ffffff"/>
          </w:tcPr>
          <w:p>
            <w:r>
              <w:rPr>
                <w:rFonts w:ascii="Calibri" w:hAnsi="Calibri"/>
                <w:sz w:val="19"/>
              </w:rPr>
              <w:t>0</w:t>
            </w:r>
          </w:p>
        </w:tc>
        <w:tc>
          <w:tcPr>
            <w:tcW w:type="dxa" w:w="1701"/>
            <w:shd w:val="clear" w:color="auto" w:fill="ffffff"/>
          </w:tcPr>
          <w:p>
            <w:r>
              <w:rPr>
                <w:rFonts w:ascii="Calibri" w:hAnsi="Calibri"/>
                <w:sz w:val="19"/>
              </w:rPr>
              <w:t>—</w:t>
            </w:r>
          </w:p>
        </w:tc>
        <w:tc>
          <w:tcPr>
            <w:tcW w:type="dxa" w:w="2381"/>
            <w:shd w:val="clear" w:color="auto" w:fill="ffffff"/>
          </w:tcPr>
          <w:p>
            <w:r>
              <w:rPr>
                <w:rFonts w:ascii="Calibri" w:hAnsi="Calibri"/>
                <w:sz w:val="19"/>
              </w:rPr>
              <w:t>Clean — core indicator stable</w:t>
            </w:r>
          </w:p>
        </w:tc>
      </w:tr>
      <w:tr>
        <w:tc>
          <w:tcPr>
            <w:tcW w:type="dxa" w:w="1984"/>
            <w:shd w:val="clear" w:color="auto" w:fill="f9fafb"/>
          </w:tcPr>
          <w:p>
            <w:r>
              <w:rPr>
                <w:rFonts w:ascii="Calibri" w:hAnsi="Calibri"/>
                <w:sz w:val="19"/>
              </w:rPr>
              <w:t>pbc_reg</w:t>
            </w:r>
          </w:p>
        </w:tc>
        <w:tc>
          <w:tcPr>
            <w:tcW w:type="dxa" w:w="567"/>
            <w:shd w:val="clear" w:color="auto" w:fill="f9fafb"/>
          </w:tcPr>
          <w:p>
            <w:r>
              <w:rPr>
                <w:rFonts w:ascii="Calibri" w:hAnsi="Calibri"/>
                <w:sz w:val="19"/>
              </w:rPr>
              <w:t>1</w:t>
            </w:r>
          </w:p>
        </w:tc>
        <w:tc>
          <w:tcPr>
            <w:tcW w:type="dxa" w:w="567"/>
            <w:shd w:val="clear" w:color="auto" w:fill="f9fafb"/>
          </w:tcPr>
          <w:p>
            <w:r>
              <w:rPr>
                <w:rFonts w:ascii="Calibri" w:hAnsi="Calibri"/>
                <w:sz w:val="19"/>
              </w:rPr>
              <w:t>60</w:t>
            </w:r>
          </w:p>
        </w:tc>
        <w:tc>
          <w:tcPr>
            <w:tcW w:type="dxa" w:w="1134"/>
            <w:shd w:val="clear" w:color="auto" w:fill="f9fafb"/>
          </w:tcPr>
          <w:p>
            <w:r>
              <w:rPr>
                <w:rFonts w:ascii="Calibri" w:hAnsi="Calibri"/>
                <w:sz w:val="19"/>
              </w:rPr>
              <w:t>0</w:t>
            </w:r>
          </w:p>
        </w:tc>
        <w:tc>
          <w:tcPr>
            <w:tcW w:type="dxa" w:w="850"/>
            <w:shd w:val="clear" w:color="auto" w:fill="f9fafb"/>
          </w:tcPr>
          <w:p>
            <w:r>
              <w:rPr>
                <w:rFonts w:ascii="Calibri" w:hAnsi="Calibri"/>
                <w:sz w:val="19"/>
              </w:rPr>
              <w:t>0</w:t>
            </w:r>
          </w:p>
        </w:tc>
        <w:tc>
          <w:tcPr>
            <w:tcW w:type="dxa" w:w="1701"/>
            <w:shd w:val="clear" w:color="auto" w:fill="f9fafb"/>
          </w:tcPr>
          <w:p>
            <w:r>
              <w:rPr>
                <w:rFonts w:ascii="Calibri" w:hAnsi="Calibri"/>
                <w:sz w:val="19"/>
              </w:rPr>
              <w:t>—</w:t>
            </w:r>
          </w:p>
        </w:tc>
        <w:tc>
          <w:tcPr>
            <w:tcW w:type="dxa" w:w="2381"/>
            <w:shd w:val="clear" w:color="auto" w:fill="f9fafb"/>
          </w:tcPr>
          <w:p>
            <w:r>
              <w:rPr>
                <w:rFonts w:ascii="Calibri" w:hAnsi="Calibri"/>
                <w:sz w:val="19"/>
              </w:rPr>
              <w:t>Clean — PBC cohort stable</w:t>
            </w:r>
          </w:p>
        </w:tc>
      </w:tr>
      <w:tr>
        <w:tc>
          <w:tcPr>
            <w:tcW w:type="dxa" w:w="1984"/>
            <w:shd w:val="clear" w:color="auto" w:fill="ffffff"/>
          </w:tcPr>
          <w:p>
            <w:r>
              <w:rPr>
                <w:rFonts w:ascii="Calibri" w:hAnsi="Calibri"/>
                <w:sz w:val="19"/>
              </w:rPr>
              <w:t>cured</w:t>
            </w:r>
          </w:p>
        </w:tc>
        <w:tc>
          <w:tcPr>
            <w:tcW w:type="dxa" w:w="567"/>
            <w:shd w:val="clear" w:color="auto" w:fill="ffffff"/>
          </w:tcPr>
          <w:p>
            <w:r>
              <w:rPr>
                <w:rFonts w:ascii="Calibri" w:hAnsi="Calibri"/>
                <w:sz w:val="19"/>
              </w:rPr>
              <w:t>1</w:t>
            </w:r>
          </w:p>
        </w:tc>
        <w:tc>
          <w:tcPr>
            <w:tcW w:type="dxa" w:w="567"/>
            <w:shd w:val="clear" w:color="auto" w:fill="ffffff"/>
          </w:tcPr>
          <w:p>
            <w:r>
              <w:rPr>
                <w:rFonts w:ascii="Calibri" w:hAnsi="Calibri"/>
                <w:sz w:val="19"/>
              </w:rPr>
              <w:t>60</w:t>
            </w:r>
          </w:p>
        </w:tc>
        <w:tc>
          <w:tcPr>
            <w:tcW w:type="dxa" w:w="1134"/>
            <w:shd w:val="clear" w:color="auto" w:fill="ffffff"/>
          </w:tcPr>
          <w:p>
            <w:r>
              <w:rPr>
                <w:rFonts w:ascii="Calibri" w:hAnsi="Calibri"/>
                <w:sz w:val="19"/>
              </w:rPr>
              <w:t>0</w:t>
            </w:r>
          </w:p>
        </w:tc>
        <w:tc>
          <w:tcPr>
            <w:tcW w:type="dxa" w:w="850"/>
            <w:shd w:val="clear" w:color="auto" w:fill="ffffff"/>
          </w:tcPr>
          <w:p>
            <w:r>
              <w:rPr>
                <w:rFonts w:ascii="Calibri" w:hAnsi="Calibri"/>
                <w:sz w:val="19"/>
              </w:rPr>
              <w:t>0</w:t>
            </w:r>
          </w:p>
        </w:tc>
        <w:tc>
          <w:tcPr>
            <w:tcW w:type="dxa" w:w="1701"/>
            <w:shd w:val="clear" w:color="auto" w:fill="ffffff"/>
          </w:tcPr>
          <w:p>
            <w:r>
              <w:rPr>
                <w:rFonts w:ascii="Calibri" w:hAnsi="Calibri"/>
                <w:sz w:val="19"/>
              </w:rPr>
              <w:t>—</w:t>
            </w:r>
          </w:p>
        </w:tc>
        <w:tc>
          <w:tcPr>
            <w:tcW w:type="dxa" w:w="2381"/>
            <w:shd w:val="clear" w:color="auto" w:fill="ffffff"/>
          </w:tcPr>
          <w:p>
            <w:r>
              <w:rPr>
                <w:rFonts w:ascii="Calibri" w:hAnsi="Calibri"/>
                <w:sz w:val="19"/>
              </w:rPr>
              <w:t>Clean — primary outcome stable</w:t>
            </w:r>
          </w:p>
        </w:tc>
      </w:tr>
      <w:tr>
        <w:tc>
          <w:tcPr>
            <w:tcW w:type="dxa" w:w="1984"/>
            <w:shd w:val="clear" w:color="auto" w:fill="f9fafb"/>
          </w:tcPr>
          <w:p>
            <w:r>
              <w:rPr>
                <w:rFonts w:ascii="Calibri" w:hAnsi="Calibri"/>
                <w:sz w:val="19"/>
              </w:rPr>
              <w:t>tb_hiv_positive</w:t>
            </w:r>
          </w:p>
        </w:tc>
        <w:tc>
          <w:tcPr>
            <w:tcW w:type="dxa" w:w="567"/>
            <w:shd w:val="clear" w:color="auto" w:fill="f9fafb"/>
          </w:tcPr>
          <w:p>
            <w:r>
              <w:rPr>
                <w:rFonts w:ascii="Calibri" w:hAnsi="Calibri"/>
                <w:sz w:val="19"/>
              </w:rPr>
              <w:t>1</w:t>
            </w:r>
          </w:p>
        </w:tc>
        <w:tc>
          <w:tcPr>
            <w:tcW w:type="dxa" w:w="567"/>
            <w:shd w:val="clear" w:color="auto" w:fill="f9fafb"/>
          </w:tcPr>
          <w:p>
            <w:r>
              <w:rPr>
                <w:rFonts w:ascii="Calibri" w:hAnsi="Calibri"/>
                <w:sz w:val="19"/>
              </w:rPr>
              <w:t>60</w:t>
            </w:r>
          </w:p>
        </w:tc>
        <w:tc>
          <w:tcPr>
            <w:tcW w:type="dxa" w:w="1134"/>
            <w:shd w:val="clear" w:color="auto" w:fill="f9fafb"/>
          </w:tcPr>
          <w:p>
            <w:r>
              <w:rPr>
                <w:rFonts w:ascii="Calibri" w:hAnsi="Calibri"/>
                <w:sz w:val="19"/>
              </w:rPr>
              <w:t>4</w:t>
            </w:r>
          </w:p>
        </w:tc>
        <w:tc>
          <w:tcPr>
            <w:tcW w:type="dxa" w:w="850"/>
            <w:shd w:val="clear" w:color="auto" w:fill="f9fafb"/>
          </w:tcPr>
          <w:p>
            <w:r>
              <w:rPr>
                <w:rFonts w:ascii="Calibri" w:hAnsi="Calibri"/>
                <w:sz w:val="19"/>
              </w:rPr>
              <w:t>2</w:t>
            </w:r>
          </w:p>
        </w:tc>
        <w:tc>
          <w:tcPr>
            <w:tcW w:type="dxa" w:w="1701"/>
            <w:shd w:val="clear" w:color="auto" w:fill="f9fafb"/>
          </w:tcPr>
          <w:p>
            <w:r>
              <w:rPr>
                <w:rFonts w:ascii="Calibri" w:hAnsi="Calibri"/>
                <w:sz w:val="19"/>
              </w:rPr>
              <w:t>Chron 9,14,52,55</w:t>
            </w:r>
          </w:p>
        </w:tc>
        <w:tc>
          <w:tcPr>
            <w:tcW w:type="dxa" w:w="2381"/>
            <w:shd w:val="clear" w:color="auto" w:fill="f9fafb"/>
          </w:tcPr>
          <w:p>
            <w:r>
              <w:rPr>
                <w:rFonts w:ascii="Calibri" w:hAnsi="Calibri"/>
                <w:sz w:val="19"/>
              </w:rPr>
              <w:t>Small-count; plausible spikes</w:t>
            </w:r>
          </w:p>
        </w:tc>
      </w:tr>
      <w:tr>
        <w:tc>
          <w:tcPr>
            <w:tcW w:type="dxa" w:w="1984"/>
            <w:shd w:val="clear" w:color="auto" w:fill="ffffff"/>
          </w:tcPr>
          <w:p>
            <w:r>
              <w:rPr>
                <w:rFonts w:ascii="Calibri" w:hAnsi="Calibri"/>
                <w:sz w:val="19"/>
              </w:rPr>
              <w:t>failed</w:t>
            </w:r>
          </w:p>
        </w:tc>
        <w:tc>
          <w:tcPr>
            <w:tcW w:type="dxa" w:w="567"/>
            <w:shd w:val="clear" w:color="auto" w:fill="ffffff"/>
          </w:tcPr>
          <w:p>
            <w:r>
              <w:rPr>
                <w:rFonts w:ascii="Calibri" w:hAnsi="Calibri"/>
                <w:sz w:val="19"/>
              </w:rPr>
              <w:t>1</w:t>
            </w:r>
          </w:p>
        </w:tc>
        <w:tc>
          <w:tcPr>
            <w:tcW w:type="dxa" w:w="567"/>
            <w:shd w:val="clear" w:color="auto" w:fill="ffffff"/>
          </w:tcPr>
          <w:p>
            <w:r>
              <w:rPr>
                <w:rFonts w:ascii="Calibri" w:hAnsi="Calibri"/>
                <w:sz w:val="19"/>
              </w:rPr>
              <w:t>60</w:t>
            </w:r>
          </w:p>
        </w:tc>
        <w:tc>
          <w:tcPr>
            <w:tcW w:type="dxa" w:w="1134"/>
            <w:shd w:val="clear" w:color="auto" w:fill="ffffff"/>
          </w:tcPr>
          <w:p>
            <w:r>
              <w:rPr>
                <w:rFonts w:ascii="Calibri" w:hAnsi="Calibri"/>
                <w:sz w:val="19"/>
              </w:rPr>
              <w:t>2</w:t>
            </w:r>
          </w:p>
        </w:tc>
        <w:tc>
          <w:tcPr>
            <w:tcW w:type="dxa" w:w="850"/>
            <w:shd w:val="clear" w:color="auto" w:fill="ffffff"/>
          </w:tcPr>
          <w:p>
            <w:r>
              <w:rPr>
                <w:rFonts w:ascii="Calibri" w:hAnsi="Calibri"/>
                <w:sz w:val="19"/>
              </w:rPr>
              <w:t>2</w:t>
            </w:r>
          </w:p>
        </w:tc>
        <w:tc>
          <w:tcPr>
            <w:tcW w:type="dxa" w:w="1701"/>
            <w:shd w:val="clear" w:color="auto" w:fill="ffffff"/>
          </w:tcPr>
          <w:p>
            <w:r>
              <w:rPr>
                <w:rFonts w:ascii="Calibri" w:hAnsi="Calibri"/>
                <w:sz w:val="19"/>
              </w:rPr>
              <w:t>Chron 5, 9</w:t>
            </w:r>
          </w:p>
        </w:tc>
        <w:tc>
          <w:tcPr>
            <w:tcW w:type="dxa" w:w="2381"/>
            <w:shd w:val="clear" w:color="auto" w:fill="ffffff"/>
          </w:tcPr>
          <w:p>
            <w:r>
              <w:rPr>
                <w:rFonts w:ascii="Calibri" w:hAnsi="Calibri"/>
                <w:sz w:val="19"/>
              </w:rPr>
              <w:t>Rare event; 2–3 cases only</w:t>
            </w:r>
          </w:p>
        </w:tc>
      </w:tr>
      <w:tr>
        <w:tc>
          <w:tcPr>
            <w:tcW w:type="dxa" w:w="1984"/>
            <w:shd w:val="clear" w:color="auto" w:fill="f9fafb"/>
          </w:tcPr>
          <w:p>
            <w:r>
              <w:rPr>
                <w:rFonts w:ascii="Calibri" w:hAnsi="Calibri"/>
                <w:sz w:val="19"/>
              </w:rPr>
              <w:t>ltfu</w:t>
            </w:r>
          </w:p>
        </w:tc>
        <w:tc>
          <w:tcPr>
            <w:tcW w:type="dxa" w:w="567"/>
            <w:shd w:val="clear" w:color="auto" w:fill="f9fafb"/>
          </w:tcPr>
          <w:p>
            <w:r>
              <w:rPr>
                <w:rFonts w:ascii="Calibri" w:hAnsi="Calibri"/>
                <w:sz w:val="19"/>
              </w:rPr>
              <w:t>1</w:t>
            </w:r>
          </w:p>
        </w:tc>
        <w:tc>
          <w:tcPr>
            <w:tcW w:type="dxa" w:w="567"/>
            <w:shd w:val="clear" w:color="auto" w:fill="f9fafb"/>
          </w:tcPr>
          <w:p>
            <w:r>
              <w:rPr>
                <w:rFonts w:ascii="Calibri" w:hAnsi="Calibri"/>
                <w:sz w:val="19"/>
              </w:rPr>
              <w:t>60</w:t>
            </w:r>
          </w:p>
        </w:tc>
        <w:tc>
          <w:tcPr>
            <w:tcW w:type="dxa" w:w="1134"/>
            <w:shd w:val="clear" w:color="auto" w:fill="f9fafb"/>
          </w:tcPr>
          <w:p>
            <w:r>
              <w:rPr>
                <w:rFonts w:ascii="Calibri" w:hAnsi="Calibri"/>
                <w:sz w:val="19"/>
              </w:rPr>
              <w:t>1</w:t>
            </w:r>
          </w:p>
        </w:tc>
        <w:tc>
          <w:tcPr>
            <w:tcW w:type="dxa" w:w="850"/>
            <w:shd w:val="clear" w:color="auto" w:fill="f9fafb"/>
          </w:tcPr>
          <w:p>
            <w:r>
              <w:rPr>
                <w:rFonts w:ascii="Calibri" w:hAnsi="Calibri"/>
                <w:sz w:val="19"/>
              </w:rPr>
              <w:t>1</w:t>
            </w:r>
          </w:p>
        </w:tc>
        <w:tc>
          <w:tcPr>
            <w:tcW w:type="dxa" w:w="1701"/>
            <w:shd w:val="clear" w:color="auto" w:fill="f9fafb"/>
          </w:tcPr>
          <w:p>
            <w:r>
              <w:rPr>
                <w:rFonts w:ascii="Calibri" w:hAnsi="Calibri"/>
                <w:sz w:val="19"/>
              </w:rPr>
              <w:t>Chron 21</w:t>
            </w:r>
          </w:p>
        </w:tc>
        <w:tc>
          <w:tcPr>
            <w:tcW w:type="dxa" w:w="2381"/>
            <w:shd w:val="clear" w:color="auto" w:fill="f9fafb"/>
          </w:tcPr>
          <w:p>
            <w:r>
              <w:rPr>
                <w:rFonts w:ascii="Calibri" w:hAnsi="Calibri"/>
                <w:sz w:val="19"/>
              </w:rPr>
              <w:t>Single high month; plausible</w:t>
            </w:r>
          </w:p>
        </w:tc>
      </w:tr>
      <w:tr>
        <w:tc>
          <w:tcPr>
            <w:tcW w:type="dxa" w:w="1984"/>
            <w:shd w:val="clear" w:color="auto" w:fill="ffffff"/>
          </w:tcPr>
          <w:p>
            <w:r>
              <w:rPr>
                <w:rFonts w:ascii="Calibri" w:hAnsi="Calibri"/>
                <w:sz w:val="19"/>
              </w:rPr>
              <w:t>not_eval</w:t>
            </w:r>
          </w:p>
        </w:tc>
        <w:tc>
          <w:tcPr>
            <w:tcW w:type="dxa" w:w="567"/>
            <w:shd w:val="clear" w:color="auto" w:fill="ffffff"/>
          </w:tcPr>
          <w:p>
            <w:r>
              <w:rPr>
                <w:rFonts w:ascii="Calibri" w:hAnsi="Calibri"/>
                <w:sz w:val="19"/>
              </w:rPr>
              <w:t>1</w:t>
            </w:r>
          </w:p>
        </w:tc>
        <w:tc>
          <w:tcPr>
            <w:tcW w:type="dxa" w:w="567"/>
            <w:shd w:val="clear" w:color="auto" w:fill="ffffff"/>
          </w:tcPr>
          <w:p>
            <w:r>
              <w:rPr>
                <w:rFonts w:ascii="Calibri" w:hAnsi="Calibri"/>
                <w:sz w:val="19"/>
              </w:rPr>
              <w:t>60</w:t>
            </w:r>
          </w:p>
        </w:tc>
        <w:tc>
          <w:tcPr>
            <w:tcW w:type="dxa" w:w="1134"/>
            <w:shd w:val="clear" w:color="auto" w:fill="ffffff"/>
          </w:tcPr>
          <w:p>
            <w:r>
              <w:rPr>
                <w:rFonts w:ascii="Calibri" w:hAnsi="Calibri"/>
                <w:sz w:val="19"/>
              </w:rPr>
              <w:t>1</w:t>
            </w:r>
          </w:p>
        </w:tc>
        <w:tc>
          <w:tcPr>
            <w:tcW w:type="dxa" w:w="850"/>
            <w:shd w:val="clear" w:color="auto" w:fill="ffffff"/>
          </w:tcPr>
          <w:p>
            <w:r>
              <w:rPr>
                <w:rFonts w:ascii="Calibri" w:hAnsi="Calibri"/>
                <w:sz w:val="19"/>
              </w:rPr>
              <w:t>1</w:t>
            </w:r>
          </w:p>
        </w:tc>
        <w:tc>
          <w:tcPr>
            <w:tcW w:type="dxa" w:w="1701"/>
            <w:shd w:val="clear" w:color="auto" w:fill="ffffff"/>
          </w:tcPr>
          <w:p>
            <w:r>
              <w:rPr>
                <w:rFonts w:ascii="Calibri" w:hAnsi="Calibri"/>
                <w:sz w:val="19"/>
              </w:rPr>
              <w:t>Chron 24</w:t>
            </w:r>
          </w:p>
        </w:tc>
        <w:tc>
          <w:tcPr>
            <w:tcW w:type="dxa" w:w="2381"/>
            <w:shd w:val="clear" w:color="auto" w:fill="ffffff"/>
          </w:tcPr>
          <w:p>
            <w:r>
              <w:rPr>
                <w:rFonts w:ascii="Calibri" w:hAnsi="Calibri"/>
                <w:sz w:val="19"/>
              </w:rPr>
              <w:t>Single high month; plausible</w:t>
            </w:r>
          </w:p>
        </w:tc>
      </w:tr>
      <w:tr>
        <w:tc>
          <w:tcPr>
            <w:tcW w:type="dxa" w:w="1984"/>
            <w:shd w:val="clear" w:color="auto" w:fill="f9fafb"/>
          </w:tcPr>
          <w:p>
            <w:r>
              <w:rPr>
                <w:rFonts w:ascii="Calibri" w:hAnsi="Calibri"/>
                <w:sz w:val="19"/>
              </w:rPr>
              <w:t>new_cases_male</w:t>
            </w:r>
          </w:p>
        </w:tc>
        <w:tc>
          <w:tcPr>
            <w:tcW w:type="dxa" w:w="567"/>
            <w:shd w:val="clear" w:color="auto" w:fill="f9fafb"/>
          </w:tcPr>
          <w:p>
            <w:r>
              <w:rPr>
                <w:rFonts w:ascii="Calibri" w:hAnsi="Calibri"/>
                <w:sz w:val="19"/>
              </w:rPr>
              <w:t>2</w:t>
            </w:r>
          </w:p>
        </w:tc>
        <w:tc>
          <w:tcPr>
            <w:tcW w:type="dxa" w:w="567"/>
            <w:shd w:val="clear" w:color="auto" w:fill="f9fafb"/>
          </w:tcPr>
          <w:p>
            <w:r>
              <w:rPr>
                <w:rFonts w:ascii="Calibri" w:hAnsi="Calibri"/>
                <w:sz w:val="19"/>
              </w:rPr>
              <w:t>57</w:t>
            </w:r>
          </w:p>
        </w:tc>
        <w:tc>
          <w:tcPr>
            <w:tcW w:type="dxa" w:w="1134"/>
            <w:shd w:val="clear" w:color="auto" w:fill="f9fafb"/>
          </w:tcPr>
          <w:p>
            <w:r>
              <w:rPr>
                <w:rFonts w:ascii="Calibri" w:hAnsi="Calibri"/>
                <w:sz w:val="19"/>
              </w:rPr>
              <w:t>1</w:t>
            </w:r>
          </w:p>
        </w:tc>
        <w:tc>
          <w:tcPr>
            <w:tcW w:type="dxa" w:w="850"/>
            <w:shd w:val="clear" w:color="auto" w:fill="f9fafb"/>
          </w:tcPr>
          <w:p>
            <w:r>
              <w:rPr>
                <w:rFonts w:ascii="Calibri" w:hAnsi="Calibri"/>
                <w:sz w:val="19"/>
              </w:rPr>
              <w:t>1</w:t>
            </w:r>
          </w:p>
        </w:tc>
        <w:tc>
          <w:tcPr>
            <w:tcW w:type="dxa" w:w="1701"/>
            <w:shd w:val="clear" w:color="auto" w:fill="f9fafb"/>
          </w:tcPr>
          <w:p>
            <w:r>
              <w:rPr>
                <w:rFonts w:ascii="Calibri" w:hAnsi="Calibri"/>
                <w:sz w:val="19"/>
              </w:rPr>
              <w:t>One month</w:t>
            </w:r>
          </w:p>
        </w:tc>
        <w:tc>
          <w:tcPr>
            <w:tcW w:type="dxa" w:w="2381"/>
            <w:shd w:val="clear" w:color="auto" w:fill="f9fafb"/>
          </w:tcPr>
          <w:p>
            <w:r>
              <w:rPr>
                <w:rFonts w:ascii="Calibri" w:hAnsi="Calibri"/>
                <w:sz w:val="19"/>
              </w:rPr>
              <w:t>One high month; plausible</w:t>
            </w:r>
          </w:p>
        </w:tc>
      </w:tr>
      <w:tr>
        <w:tc>
          <w:tcPr>
            <w:tcW w:type="dxa" w:w="1984"/>
            <w:shd w:val="clear" w:color="auto" w:fill="ffffff"/>
          </w:tcPr>
          <w:p>
            <w:r>
              <w:rPr>
                <w:rFonts w:ascii="Calibri" w:hAnsi="Calibri"/>
                <w:sz w:val="19"/>
              </w:rPr>
              <w:t>relapse_female</w:t>
            </w:r>
          </w:p>
        </w:tc>
        <w:tc>
          <w:tcPr>
            <w:tcW w:type="dxa" w:w="567"/>
            <w:shd w:val="clear" w:color="auto" w:fill="ffffff"/>
          </w:tcPr>
          <w:p>
            <w:r>
              <w:rPr>
                <w:rFonts w:ascii="Calibri" w:hAnsi="Calibri"/>
                <w:sz w:val="19"/>
              </w:rPr>
              <w:t>2</w:t>
            </w:r>
          </w:p>
        </w:tc>
        <w:tc>
          <w:tcPr>
            <w:tcW w:type="dxa" w:w="567"/>
            <w:shd w:val="clear" w:color="auto" w:fill="ffffff"/>
          </w:tcPr>
          <w:p>
            <w:r>
              <w:rPr>
                <w:rFonts w:ascii="Calibri" w:hAnsi="Calibri"/>
                <w:sz w:val="19"/>
              </w:rPr>
              <w:t>57</w:t>
            </w:r>
          </w:p>
        </w:tc>
        <w:tc>
          <w:tcPr>
            <w:tcW w:type="dxa" w:w="1134"/>
            <w:shd w:val="clear" w:color="auto" w:fill="ffffff"/>
          </w:tcPr>
          <w:p>
            <w:r>
              <w:rPr>
                <w:rFonts w:ascii="Calibri" w:hAnsi="Calibri"/>
                <w:sz w:val="19"/>
              </w:rPr>
              <w:t>1</w:t>
            </w:r>
          </w:p>
        </w:tc>
        <w:tc>
          <w:tcPr>
            <w:tcW w:type="dxa" w:w="850"/>
            <w:shd w:val="clear" w:color="auto" w:fill="ffffff"/>
          </w:tcPr>
          <w:p>
            <w:r>
              <w:rPr>
                <w:rFonts w:ascii="Calibri" w:hAnsi="Calibri"/>
                <w:sz w:val="19"/>
              </w:rPr>
              <w:t>1</w:t>
            </w:r>
          </w:p>
        </w:tc>
        <w:tc>
          <w:tcPr>
            <w:tcW w:type="dxa" w:w="1701"/>
            <w:shd w:val="clear" w:color="auto" w:fill="ffffff"/>
          </w:tcPr>
          <w:p>
            <w:r>
              <w:rPr>
                <w:rFonts w:ascii="Calibri" w:hAnsi="Calibri"/>
                <w:sz w:val="19"/>
              </w:rPr>
              <w:t>One month</w:t>
            </w:r>
          </w:p>
        </w:tc>
        <w:tc>
          <w:tcPr>
            <w:tcW w:type="dxa" w:w="2381"/>
            <w:shd w:val="clear" w:color="auto" w:fill="ffffff"/>
          </w:tcPr>
          <w:p>
            <w:r>
              <w:rPr>
                <w:rFonts w:ascii="Calibri" w:hAnsi="Calibri"/>
                <w:sz w:val="19"/>
              </w:rPr>
              <w:t>Low base count variability</w:t>
            </w:r>
          </w:p>
        </w:tc>
      </w:tr>
    </w:tbl>
    <w:p/>
    <w:tbl>
      <w:tblPr>
        <w:tblStyle w:val="TableGrid"/>
        <w:tblW w:type="auto" w:w="0"/>
        <w:tblLook w:firstColumn="1" w:firstRow="1" w:lastColumn="0" w:lastRow="0" w:noHBand="0" w:noVBand="1" w:val="04A0"/>
      </w:tblPr>
      <w:tblGrid>
        <w:gridCol w:w="9072"/>
      </w:tblGrid>
      <w:tr>
        <w:tc>
          <w:tcPr>
            <w:tcW w:type="dxa" w:w="9072"/>
            <w:shd w:val="clear" w:color="auto" w:fill="f0fdf4"/>
          </w:tcPr>
          <w:p>
            <w:pPr>
              <w:spacing w:before="60" w:after="60"/>
            </w:pPr>
            <w:r>
              <w:rPr>
                <w:b/>
                <w:color w:val="15803D"/>
                <w:sz w:val="19"/>
              </w:rPr>
              <w:t xml:space="preserve">KEY FINDING:  </w:t>
            </w:r>
            <w:r>
              <w:rPr>
                <w:color w:val="1F2937"/>
                <w:sz w:val="19"/>
              </w:rPr>
              <w:t>Zero extreme anomalies detected across all 34 variables. All flagged outliers are in small-count variables (HIV+, failed, ltfu) where Poisson-type variation naturally produces occasional high months. None indicate data quality errors.</w:t>
            </w:r>
          </w:p>
        </w:tc>
      </w:tr>
    </w:tbl>
    <w:p/>
    <w:p>
      <w:pPr>
        <w:pStyle w:val="Heading2"/>
      </w:pPr>
      <w:r>
        <w:t>6.3  IQR Sensitivity Analysis</w:t>
      </w:r>
    </w:p>
    <w:p>
      <w:pPr>
        <w:spacing w:before="0" w:after="120"/>
        <w:jc w:val="left"/>
      </w:pPr>
      <w:r>
        <w:rPr>
          <w:rFonts w:ascii="Calibri" w:hAnsi="Calibri"/>
          <w:b w:val="0"/>
          <w:i w:val="0"/>
        </w:rPr>
        <w:t>The sensitivity analysis varies the IQR fence multiplier from the standard 1.5× through 2.0×, 2.5×, and 3.0×. As the multiplier increases, outlier flags disappear for small-count variables at 2.5× and all variables become clean at 3.0×. This monotonic decay pattern confirms there are no hard outliers — only boundary cases in low-count variables where the IQR-based fence is naturally tight. Core notification and treatment outcome variables (new_cases_total, pbc_reg, cured, died) remain clean at all four multiplier levels.</w:t>
      </w:r>
    </w:p>
    <w:p>
      <w:pPr>
        <w:jc w:val="center"/>
      </w:pPr>
      <w:r>
        <w:drawing>
          <wp:inline xmlns:a="http://schemas.openxmlformats.org/drawingml/2006/main" xmlns:pic="http://schemas.openxmlformats.org/drawingml/2006/picture">
            <wp:extent cx="5486400" cy="2978331"/>
            <wp:docPr id="17" name="Picture 17"/>
            <wp:cNvGraphicFramePr>
              <a:graphicFrameLocks noChangeAspect="1"/>
            </wp:cNvGraphicFramePr>
            <a:graphic>
              <a:graphicData uri="http://schemas.openxmlformats.org/drawingml/2006/picture">
                <pic:pic>
                  <pic:nvPicPr>
                    <pic:cNvPr id="0" name="chart_017.png"/>
                    <pic:cNvPicPr/>
                  </pic:nvPicPr>
                  <pic:blipFill>
                    <a:blip r:embed="rId25"/>
                    <a:stretch>
                      <a:fillRect/>
                    </a:stretch>
                  </pic:blipFill>
                  <pic:spPr>
                    <a:xfrm>
                      <a:off x="0" y="0"/>
                      <a:ext cx="5486400" cy="2978331"/>
                    </a:xfrm>
                    <a:prstGeom prst="rect"/>
                  </pic:spPr>
                </pic:pic>
              </a:graphicData>
            </a:graphic>
          </wp:inline>
        </w:drawing>
      </w:r>
    </w:p>
    <w:p>
      <w:pPr>
        <w:spacing w:before="40" w:after="160"/>
        <w:jc w:val="center"/>
      </w:pPr>
      <w:r>
        <w:rPr>
          <w:i/>
          <w:color w:val="6B7280"/>
          <w:sz w:val="18"/>
        </w:rPr>
        <w:t>Figure 6.2 — Outlier count per variable as IQR fence multiplier increases 1.5× → 3.0×</w:t>
      </w:r>
    </w:p>
    <w:p>
      <w:pPr>
        <w:pStyle w:val="Heading2"/>
      </w:pPr>
      <w:r>
        <w:t>6.4  Structural Gap Characterisation</w:t>
      </w:r>
    </w:p>
    <w:p>
      <w:pPr>
        <w:spacing w:before="0" w:after="120"/>
        <w:jc w:val="left"/>
      </w:pPr>
      <w:r>
        <w:rPr>
          <w:rFonts w:ascii="Calibri" w:hAnsi="Calibri"/>
          <w:b w:val="0"/>
          <w:i w:val="0"/>
        </w:rPr>
        <w:t>The 3-month structural gap (Baishak–Asar BS 2078, April 16 – July 15, 2021) contains 730 new TB cases (4.2% of the 60-month total). All treatment outcome data is fully recorded for these months — only sex and age disaggregation is absent. This means programme performance analysis (TSR, mortality, LTFU) can proceed for all 60 months, while demographic subgroup analysis is restricted to the 57-month main period.</w:t>
      </w:r>
    </w:p>
    <w:p>
      <w:pPr>
        <w:jc w:val="center"/>
      </w:pPr>
      <w:r>
        <w:drawing>
          <wp:inline xmlns:a="http://schemas.openxmlformats.org/drawingml/2006/main" xmlns:pic="http://schemas.openxmlformats.org/drawingml/2006/picture">
            <wp:extent cx="4114800" cy="1822269"/>
            <wp:docPr id="18" name="Picture 18"/>
            <wp:cNvGraphicFramePr>
              <a:graphicFrameLocks noChangeAspect="1"/>
            </wp:cNvGraphicFramePr>
            <a:graphic>
              <a:graphicData uri="http://schemas.openxmlformats.org/drawingml/2006/picture">
                <pic:pic>
                  <pic:nvPicPr>
                    <pic:cNvPr id="0" name="chart_018.png"/>
                    <pic:cNvPicPr/>
                  </pic:nvPicPr>
                  <pic:blipFill>
                    <a:blip r:embed="rId26"/>
                    <a:stretch>
                      <a:fillRect/>
                    </a:stretch>
                  </pic:blipFill>
                  <pic:spPr>
                    <a:xfrm>
                      <a:off x="0" y="0"/>
                      <a:ext cx="4114800" cy="1822269"/>
                    </a:xfrm>
                    <a:prstGeom prst="rect"/>
                  </pic:spPr>
                </pic:pic>
              </a:graphicData>
            </a:graphic>
          </wp:inline>
        </w:drawing>
      </w:r>
    </w:p>
    <w:p>
      <w:pPr>
        <w:spacing w:before="40" w:after="160"/>
        <w:jc w:val="center"/>
      </w:pPr>
      <w:r>
        <w:rPr>
          <w:i/>
          <w:color w:val="6B7280"/>
          <w:sz w:val="18"/>
        </w:rPr>
        <w:t>Figure 6.3 — Gap impact: 730 cases (4.2%) in gap months, 16,533 (95.8%) complete</w:t>
      </w:r>
    </w:p>
    <w:p>
      <w:pPr>
        <w:spacing w:before="160" w:after="40"/>
      </w:pPr>
      <w:r>
        <w:rPr>
          <w:i/>
          <w:color w:val="6B7280"/>
          <w:sz w:val="18"/>
        </w:rPr>
        <w:t>Table 6.2 — Structural Gap Month Detail</w:t>
      </w:r>
    </w:p>
    <w:tbl>
      <w:tblPr>
        <w:tblStyle w:val="TableGrid"/>
        <w:tblW w:type="auto" w:w="0"/>
        <w:jc w:val="center"/>
        <w:tblLook w:firstColumn="1" w:firstRow="1" w:lastColumn="0" w:lastRow="0" w:noHBand="0" w:noVBand="1" w:val="04A0"/>
      </w:tblPr>
      <w:tblGrid>
        <w:gridCol w:w="907"/>
        <w:gridCol w:w="907"/>
        <w:gridCol w:w="907"/>
        <w:gridCol w:w="907"/>
        <w:gridCol w:w="907"/>
        <w:gridCol w:w="907"/>
        <w:gridCol w:w="907"/>
        <w:gridCol w:w="907"/>
        <w:gridCol w:w="907"/>
        <w:gridCol w:w="907"/>
      </w:tblGrid>
      <w:tr>
        <w:tc>
          <w:tcPr>
            <w:tcW w:type="dxa" w:w="1417"/>
            <w:shd w:val="clear" w:color="auto" w:fill="1c3761"/>
          </w:tcPr>
          <w:p>
            <w:pPr>
              <w:jc w:val="center"/>
            </w:pPr>
            <w:r>
              <w:rPr>
                <w:rFonts w:ascii="Calibri" w:hAnsi="Calibri"/>
                <w:b/>
                <w:color w:val="FFFFFF"/>
                <w:sz w:val="19"/>
              </w:rPr>
              <w:t>Gap Month</w:t>
            </w:r>
          </w:p>
        </w:tc>
        <w:tc>
          <w:tcPr>
            <w:tcW w:type="dxa" w:w="850"/>
            <w:shd w:val="clear" w:color="auto" w:fill="1c3761"/>
          </w:tcPr>
          <w:p>
            <w:pPr>
              <w:jc w:val="center"/>
            </w:pPr>
            <w:r>
              <w:rPr>
                <w:rFonts w:ascii="Calibri" w:hAnsi="Calibri"/>
                <w:b/>
                <w:color w:val="FFFFFF"/>
                <w:sz w:val="19"/>
              </w:rPr>
              <w:t>Chron Order</w:t>
            </w:r>
          </w:p>
        </w:tc>
        <w:tc>
          <w:tcPr>
            <w:tcW w:type="dxa" w:w="1134"/>
            <w:shd w:val="clear" w:color="auto" w:fill="1c3761"/>
          </w:tcPr>
          <w:p>
            <w:pPr>
              <w:jc w:val="center"/>
            </w:pPr>
            <w:r>
              <w:rPr>
                <w:rFonts w:ascii="Calibri" w:hAnsi="Calibri"/>
                <w:b/>
                <w:color w:val="FFFFFF"/>
                <w:sz w:val="19"/>
              </w:rPr>
              <w:t>New Cases</w:t>
            </w:r>
          </w:p>
        </w:tc>
        <w:tc>
          <w:tcPr>
            <w:tcW w:type="dxa" w:w="850"/>
            <w:shd w:val="clear" w:color="auto" w:fill="1c3761"/>
          </w:tcPr>
          <w:p>
            <w:pPr>
              <w:jc w:val="center"/>
            </w:pPr>
            <w:r>
              <w:rPr>
                <w:rFonts w:ascii="Calibri" w:hAnsi="Calibri"/>
                <w:b/>
                <w:color w:val="FFFFFF"/>
                <w:sz w:val="19"/>
              </w:rPr>
              <w:t>PBC Reg</w:t>
            </w:r>
          </w:p>
        </w:tc>
        <w:tc>
          <w:tcPr>
            <w:tcW w:type="dxa" w:w="850"/>
            <w:shd w:val="clear" w:color="auto" w:fill="1c3761"/>
          </w:tcPr>
          <w:p>
            <w:pPr>
              <w:jc w:val="center"/>
            </w:pPr>
            <w:r>
              <w:rPr>
                <w:rFonts w:ascii="Calibri" w:hAnsi="Calibri"/>
                <w:b/>
                <w:color w:val="FFFFFF"/>
                <w:sz w:val="19"/>
              </w:rPr>
              <w:t>Cured</w:t>
            </w:r>
          </w:p>
        </w:tc>
        <w:tc>
          <w:tcPr>
            <w:tcW w:type="dxa" w:w="850"/>
            <w:shd w:val="clear" w:color="auto" w:fill="1c3761"/>
          </w:tcPr>
          <w:p>
            <w:pPr>
              <w:jc w:val="center"/>
            </w:pPr>
            <w:r>
              <w:rPr>
                <w:rFonts w:ascii="Calibri" w:hAnsi="Calibri"/>
                <w:b/>
                <w:color w:val="FFFFFF"/>
                <w:sz w:val="19"/>
              </w:rPr>
              <w:t>Failed</w:t>
            </w:r>
          </w:p>
        </w:tc>
        <w:tc>
          <w:tcPr>
            <w:tcW w:type="dxa" w:w="680"/>
            <w:shd w:val="clear" w:color="auto" w:fill="1c3761"/>
          </w:tcPr>
          <w:p>
            <w:pPr>
              <w:jc w:val="center"/>
            </w:pPr>
            <w:r>
              <w:rPr>
                <w:rFonts w:ascii="Calibri" w:hAnsi="Calibri"/>
                <w:b/>
                <w:color w:val="FFFFFF"/>
                <w:sz w:val="19"/>
              </w:rPr>
              <w:t>Died</w:t>
            </w:r>
          </w:p>
        </w:tc>
        <w:tc>
          <w:tcPr>
            <w:tcW w:type="dxa" w:w="680"/>
            <w:shd w:val="clear" w:color="auto" w:fill="1c3761"/>
          </w:tcPr>
          <w:p>
            <w:pPr>
              <w:jc w:val="center"/>
            </w:pPr>
            <w:r>
              <w:rPr>
                <w:rFonts w:ascii="Calibri" w:hAnsi="Calibri"/>
                <w:b/>
                <w:color w:val="FFFFFF"/>
                <w:sz w:val="19"/>
              </w:rPr>
              <w:t>LTFU</w:t>
            </w:r>
          </w:p>
        </w:tc>
        <w:tc>
          <w:tcPr>
            <w:tcW w:type="dxa" w:w="850"/>
            <w:shd w:val="clear" w:color="auto" w:fill="1c3761"/>
          </w:tcPr>
          <w:p>
            <w:pPr>
              <w:jc w:val="center"/>
            </w:pPr>
            <w:r>
              <w:rPr>
                <w:rFonts w:ascii="Calibri" w:hAnsi="Calibri"/>
                <w:b/>
                <w:color w:val="FFFFFF"/>
                <w:sz w:val="19"/>
              </w:rPr>
              <w:t>Not Eval</w:t>
            </w:r>
          </w:p>
        </w:tc>
        <w:tc>
          <w:tcPr>
            <w:tcW w:type="dxa" w:w="1701"/>
            <w:shd w:val="clear" w:color="auto" w:fill="1c3761"/>
          </w:tcPr>
          <w:p>
            <w:pPr>
              <w:jc w:val="center"/>
            </w:pPr>
            <w:r>
              <w:rPr>
                <w:rFonts w:ascii="Calibri" w:hAnsi="Calibri"/>
                <w:b/>
                <w:color w:val="FFFFFF"/>
                <w:sz w:val="19"/>
              </w:rPr>
              <w:t>Absent Variables</w:t>
            </w:r>
          </w:p>
        </w:tc>
      </w:tr>
      <w:tr>
        <w:tc>
          <w:tcPr>
            <w:tcW w:type="dxa" w:w="1417"/>
            <w:shd w:val="clear" w:color="auto" w:fill="ffffff"/>
          </w:tcPr>
          <w:p>
            <w:r>
              <w:rPr>
                <w:rFonts w:ascii="Calibri" w:hAnsi="Calibri"/>
                <w:sz w:val="19"/>
              </w:rPr>
              <w:t>Baishak 2078</w:t>
            </w:r>
          </w:p>
        </w:tc>
        <w:tc>
          <w:tcPr>
            <w:tcW w:type="dxa" w:w="850"/>
            <w:shd w:val="clear" w:color="auto" w:fill="ffffff"/>
          </w:tcPr>
          <w:p>
            <w:r>
              <w:rPr>
                <w:rFonts w:ascii="Calibri" w:hAnsi="Calibri"/>
                <w:sz w:val="19"/>
              </w:rPr>
              <w:t>1</w:t>
            </w:r>
          </w:p>
        </w:tc>
        <w:tc>
          <w:tcPr>
            <w:tcW w:type="dxa" w:w="1134"/>
            <w:shd w:val="clear" w:color="auto" w:fill="ffffff"/>
          </w:tcPr>
          <w:p>
            <w:r>
              <w:rPr>
                <w:rFonts w:ascii="Calibri" w:hAnsi="Calibri"/>
                <w:sz w:val="19"/>
              </w:rPr>
              <w:t>273</w:t>
            </w:r>
          </w:p>
        </w:tc>
        <w:tc>
          <w:tcPr>
            <w:tcW w:type="dxa" w:w="850"/>
            <w:shd w:val="clear" w:color="auto" w:fill="ffffff"/>
          </w:tcPr>
          <w:p>
            <w:r>
              <w:rPr>
                <w:rFonts w:ascii="Calibri" w:hAnsi="Calibri"/>
                <w:sz w:val="19"/>
              </w:rPr>
              <w:t>60</w:t>
            </w:r>
          </w:p>
        </w:tc>
        <w:tc>
          <w:tcPr>
            <w:tcW w:type="dxa" w:w="850"/>
            <w:shd w:val="clear" w:color="auto" w:fill="ffffff"/>
          </w:tcPr>
          <w:p>
            <w:r>
              <w:rPr>
                <w:rFonts w:ascii="Calibri" w:hAnsi="Calibri"/>
                <w:sz w:val="19"/>
              </w:rPr>
              <w:t>50</w:t>
            </w:r>
          </w:p>
        </w:tc>
        <w:tc>
          <w:tcPr>
            <w:tcW w:type="dxa" w:w="850"/>
            <w:shd w:val="clear" w:color="auto" w:fill="ffffff"/>
          </w:tcPr>
          <w:p>
            <w:r>
              <w:rPr>
                <w:rFonts w:ascii="Calibri" w:hAnsi="Calibri"/>
                <w:sz w:val="19"/>
              </w:rPr>
              <w:t>1</w:t>
            </w:r>
          </w:p>
        </w:tc>
        <w:tc>
          <w:tcPr>
            <w:tcW w:type="dxa" w:w="680"/>
            <w:shd w:val="clear" w:color="auto" w:fill="ffffff"/>
          </w:tcPr>
          <w:p>
            <w:r>
              <w:rPr>
                <w:rFonts w:ascii="Calibri" w:hAnsi="Calibri"/>
                <w:sz w:val="19"/>
              </w:rPr>
              <w:t>0</w:t>
            </w:r>
          </w:p>
        </w:tc>
        <w:tc>
          <w:tcPr>
            <w:tcW w:type="dxa" w:w="680"/>
            <w:shd w:val="clear" w:color="auto" w:fill="ffffff"/>
          </w:tcPr>
          <w:p>
            <w:r>
              <w:rPr>
                <w:rFonts w:ascii="Calibri" w:hAnsi="Calibri"/>
                <w:sz w:val="19"/>
              </w:rPr>
              <w:t>1</w:t>
            </w:r>
          </w:p>
        </w:tc>
        <w:tc>
          <w:tcPr>
            <w:tcW w:type="dxa" w:w="850"/>
            <w:shd w:val="clear" w:color="auto" w:fill="ffffff"/>
          </w:tcPr>
          <w:p>
            <w:r>
              <w:rPr>
                <w:rFonts w:ascii="Calibri" w:hAnsi="Calibri"/>
                <w:sz w:val="19"/>
              </w:rPr>
              <w:t>3</w:t>
            </w:r>
          </w:p>
        </w:tc>
        <w:tc>
          <w:tcPr>
            <w:tcW w:type="dxa" w:w="1701"/>
            <w:shd w:val="clear" w:color="auto" w:fill="ffffff"/>
          </w:tcPr>
          <w:p>
            <w:r>
              <w:rPr>
                <w:rFonts w:ascii="Calibri" w:hAnsi="Calibri"/>
                <w:sz w:val="19"/>
              </w:rPr>
              <w:t>24 (sex+age)</w:t>
            </w:r>
          </w:p>
        </w:tc>
      </w:tr>
      <w:tr>
        <w:tc>
          <w:tcPr>
            <w:tcW w:type="dxa" w:w="1417"/>
            <w:shd w:val="clear" w:color="auto" w:fill="f9fafb"/>
          </w:tcPr>
          <w:p>
            <w:r>
              <w:rPr>
                <w:rFonts w:ascii="Calibri" w:hAnsi="Calibri"/>
                <w:sz w:val="19"/>
              </w:rPr>
              <w:t>Jestha 2078</w:t>
            </w:r>
          </w:p>
        </w:tc>
        <w:tc>
          <w:tcPr>
            <w:tcW w:type="dxa" w:w="850"/>
            <w:shd w:val="clear" w:color="auto" w:fill="f9fafb"/>
          </w:tcPr>
          <w:p>
            <w:r>
              <w:rPr>
                <w:rFonts w:ascii="Calibri" w:hAnsi="Calibri"/>
                <w:sz w:val="19"/>
              </w:rPr>
              <w:t>2</w:t>
            </w:r>
          </w:p>
        </w:tc>
        <w:tc>
          <w:tcPr>
            <w:tcW w:type="dxa" w:w="1134"/>
            <w:shd w:val="clear" w:color="auto" w:fill="f9fafb"/>
          </w:tcPr>
          <w:p>
            <w:r>
              <w:rPr>
                <w:rFonts w:ascii="Calibri" w:hAnsi="Calibri"/>
                <w:sz w:val="19"/>
              </w:rPr>
              <w:t>176</w:t>
            </w:r>
          </w:p>
        </w:tc>
        <w:tc>
          <w:tcPr>
            <w:tcW w:type="dxa" w:w="850"/>
            <w:shd w:val="clear" w:color="auto" w:fill="f9fafb"/>
          </w:tcPr>
          <w:p>
            <w:r>
              <w:rPr>
                <w:rFonts w:ascii="Calibri" w:hAnsi="Calibri"/>
                <w:sz w:val="19"/>
              </w:rPr>
              <w:t>62</w:t>
            </w:r>
          </w:p>
        </w:tc>
        <w:tc>
          <w:tcPr>
            <w:tcW w:type="dxa" w:w="850"/>
            <w:shd w:val="clear" w:color="auto" w:fill="f9fafb"/>
          </w:tcPr>
          <w:p>
            <w:r>
              <w:rPr>
                <w:rFonts w:ascii="Calibri" w:hAnsi="Calibri"/>
                <w:sz w:val="19"/>
              </w:rPr>
              <w:t>59</w:t>
            </w:r>
          </w:p>
        </w:tc>
        <w:tc>
          <w:tcPr>
            <w:tcW w:type="dxa" w:w="850"/>
            <w:shd w:val="clear" w:color="auto" w:fill="f9fafb"/>
          </w:tcPr>
          <w:p>
            <w:r>
              <w:rPr>
                <w:rFonts w:ascii="Calibri" w:hAnsi="Calibri"/>
                <w:sz w:val="19"/>
              </w:rPr>
              <w:t>0</w:t>
            </w:r>
          </w:p>
        </w:tc>
        <w:tc>
          <w:tcPr>
            <w:tcW w:type="dxa" w:w="680"/>
            <w:shd w:val="clear" w:color="auto" w:fill="f9fafb"/>
          </w:tcPr>
          <w:p>
            <w:r>
              <w:rPr>
                <w:rFonts w:ascii="Calibri" w:hAnsi="Calibri"/>
                <w:sz w:val="19"/>
              </w:rPr>
              <w:t>0</w:t>
            </w:r>
          </w:p>
        </w:tc>
        <w:tc>
          <w:tcPr>
            <w:tcW w:type="dxa" w:w="680"/>
            <w:shd w:val="clear" w:color="auto" w:fill="f9fafb"/>
          </w:tcPr>
          <w:p>
            <w:r>
              <w:rPr>
                <w:rFonts w:ascii="Calibri" w:hAnsi="Calibri"/>
                <w:sz w:val="19"/>
              </w:rPr>
              <w:t>1</w:t>
            </w:r>
          </w:p>
        </w:tc>
        <w:tc>
          <w:tcPr>
            <w:tcW w:type="dxa" w:w="850"/>
            <w:shd w:val="clear" w:color="auto" w:fill="f9fafb"/>
          </w:tcPr>
          <w:p>
            <w:r>
              <w:rPr>
                <w:rFonts w:ascii="Calibri" w:hAnsi="Calibri"/>
                <w:sz w:val="19"/>
              </w:rPr>
              <w:t>2</w:t>
            </w:r>
          </w:p>
        </w:tc>
        <w:tc>
          <w:tcPr>
            <w:tcW w:type="dxa" w:w="1701"/>
            <w:shd w:val="clear" w:color="auto" w:fill="f9fafb"/>
          </w:tcPr>
          <w:p>
            <w:r>
              <w:rPr>
                <w:rFonts w:ascii="Calibri" w:hAnsi="Calibri"/>
                <w:sz w:val="19"/>
              </w:rPr>
              <w:t>24 (sex+age)</w:t>
            </w:r>
          </w:p>
        </w:tc>
      </w:tr>
      <w:tr>
        <w:tc>
          <w:tcPr>
            <w:tcW w:type="dxa" w:w="1417"/>
            <w:shd w:val="clear" w:color="auto" w:fill="ffffff"/>
          </w:tcPr>
          <w:p>
            <w:r>
              <w:rPr>
                <w:rFonts w:ascii="Calibri" w:hAnsi="Calibri"/>
                <w:sz w:val="19"/>
              </w:rPr>
              <w:t>Asar 2078</w:t>
            </w:r>
          </w:p>
        </w:tc>
        <w:tc>
          <w:tcPr>
            <w:tcW w:type="dxa" w:w="850"/>
            <w:shd w:val="clear" w:color="auto" w:fill="ffffff"/>
          </w:tcPr>
          <w:p>
            <w:r>
              <w:rPr>
                <w:rFonts w:ascii="Calibri" w:hAnsi="Calibri"/>
                <w:sz w:val="19"/>
              </w:rPr>
              <w:t>3</w:t>
            </w:r>
          </w:p>
        </w:tc>
        <w:tc>
          <w:tcPr>
            <w:tcW w:type="dxa" w:w="1134"/>
            <w:shd w:val="clear" w:color="auto" w:fill="ffffff"/>
          </w:tcPr>
          <w:p>
            <w:r>
              <w:rPr>
                <w:rFonts w:ascii="Calibri" w:hAnsi="Calibri"/>
                <w:sz w:val="19"/>
              </w:rPr>
              <w:t>281</w:t>
            </w:r>
          </w:p>
        </w:tc>
        <w:tc>
          <w:tcPr>
            <w:tcW w:type="dxa" w:w="850"/>
            <w:shd w:val="clear" w:color="auto" w:fill="ffffff"/>
          </w:tcPr>
          <w:p>
            <w:r>
              <w:rPr>
                <w:rFonts w:ascii="Calibri" w:hAnsi="Calibri"/>
                <w:sz w:val="19"/>
              </w:rPr>
              <w:t>87</w:t>
            </w:r>
          </w:p>
        </w:tc>
        <w:tc>
          <w:tcPr>
            <w:tcW w:type="dxa" w:w="850"/>
            <w:shd w:val="clear" w:color="auto" w:fill="ffffff"/>
          </w:tcPr>
          <w:p>
            <w:r>
              <w:rPr>
                <w:rFonts w:ascii="Calibri" w:hAnsi="Calibri"/>
                <w:sz w:val="19"/>
              </w:rPr>
              <w:t>70</w:t>
            </w:r>
          </w:p>
        </w:tc>
        <w:tc>
          <w:tcPr>
            <w:tcW w:type="dxa" w:w="850"/>
            <w:shd w:val="clear" w:color="auto" w:fill="ffffff"/>
          </w:tcPr>
          <w:p>
            <w:r>
              <w:rPr>
                <w:rFonts w:ascii="Calibri" w:hAnsi="Calibri"/>
                <w:sz w:val="19"/>
              </w:rPr>
              <w:t>0</w:t>
            </w:r>
          </w:p>
        </w:tc>
        <w:tc>
          <w:tcPr>
            <w:tcW w:type="dxa" w:w="680"/>
            <w:shd w:val="clear" w:color="auto" w:fill="ffffff"/>
          </w:tcPr>
          <w:p>
            <w:r>
              <w:rPr>
                <w:rFonts w:ascii="Calibri" w:hAnsi="Calibri"/>
                <w:sz w:val="19"/>
              </w:rPr>
              <w:t>2</w:t>
            </w:r>
          </w:p>
        </w:tc>
        <w:tc>
          <w:tcPr>
            <w:tcW w:type="dxa" w:w="680"/>
            <w:shd w:val="clear" w:color="auto" w:fill="ffffff"/>
          </w:tcPr>
          <w:p>
            <w:r>
              <w:rPr>
                <w:rFonts w:ascii="Calibri" w:hAnsi="Calibri"/>
                <w:sz w:val="19"/>
              </w:rPr>
              <w:t>0</w:t>
            </w:r>
          </w:p>
        </w:tc>
        <w:tc>
          <w:tcPr>
            <w:tcW w:type="dxa" w:w="850"/>
            <w:shd w:val="clear" w:color="auto" w:fill="ffffff"/>
          </w:tcPr>
          <w:p>
            <w:r>
              <w:rPr>
                <w:rFonts w:ascii="Calibri" w:hAnsi="Calibri"/>
                <w:sz w:val="19"/>
              </w:rPr>
              <w:t>5</w:t>
            </w:r>
          </w:p>
        </w:tc>
        <w:tc>
          <w:tcPr>
            <w:tcW w:type="dxa" w:w="1701"/>
            <w:shd w:val="clear" w:color="auto" w:fill="ffffff"/>
          </w:tcPr>
          <w:p>
            <w:r>
              <w:rPr>
                <w:rFonts w:ascii="Calibri" w:hAnsi="Calibri"/>
                <w:sz w:val="19"/>
              </w:rPr>
              <w:t>24 (sex+age)</w:t>
            </w:r>
          </w:p>
        </w:tc>
      </w:tr>
      <w:tr>
        <w:tc>
          <w:tcPr>
            <w:tcW w:type="dxa" w:w="1417"/>
            <w:shd w:val="clear" w:color="auto" w:fill="f9fafb"/>
          </w:tcPr>
          <w:p>
            <w:r>
              <w:rPr>
                <w:rFonts w:ascii="Calibri" w:hAnsi="Calibri"/>
                <w:sz w:val="19"/>
              </w:rPr>
              <w:t>TOTAL</w:t>
            </w:r>
          </w:p>
        </w:tc>
        <w:tc>
          <w:tcPr>
            <w:tcW w:type="dxa" w:w="850"/>
            <w:shd w:val="clear" w:color="auto" w:fill="f9fafb"/>
          </w:tcPr>
          <w:p>
            <w:r>
              <w:rPr>
                <w:rFonts w:ascii="Calibri" w:hAnsi="Calibri"/>
                <w:sz w:val="19"/>
              </w:rPr>
              <w:t>—</w:t>
            </w:r>
          </w:p>
        </w:tc>
        <w:tc>
          <w:tcPr>
            <w:tcW w:type="dxa" w:w="1134"/>
            <w:shd w:val="clear" w:color="auto" w:fill="f9fafb"/>
          </w:tcPr>
          <w:p>
            <w:r>
              <w:rPr>
                <w:rFonts w:ascii="Calibri" w:hAnsi="Calibri"/>
                <w:sz w:val="19"/>
              </w:rPr>
              <w:t>730</w:t>
            </w:r>
          </w:p>
        </w:tc>
        <w:tc>
          <w:tcPr>
            <w:tcW w:type="dxa" w:w="850"/>
            <w:shd w:val="clear" w:color="auto" w:fill="f9fafb"/>
          </w:tcPr>
          <w:p>
            <w:r>
              <w:rPr>
                <w:rFonts w:ascii="Calibri" w:hAnsi="Calibri"/>
                <w:sz w:val="19"/>
              </w:rPr>
              <w:t>209</w:t>
            </w:r>
          </w:p>
        </w:tc>
        <w:tc>
          <w:tcPr>
            <w:tcW w:type="dxa" w:w="850"/>
            <w:shd w:val="clear" w:color="auto" w:fill="f9fafb"/>
          </w:tcPr>
          <w:p>
            <w:r>
              <w:rPr>
                <w:rFonts w:ascii="Calibri" w:hAnsi="Calibri"/>
                <w:sz w:val="19"/>
              </w:rPr>
              <w:t>179</w:t>
            </w:r>
          </w:p>
        </w:tc>
        <w:tc>
          <w:tcPr>
            <w:tcW w:type="dxa" w:w="850"/>
            <w:shd w:val="clear" w:color="auto" w:fill="f9fafb"/>
          </w:tcPr>
          <w:p>
            <w:r>
              <w:rPr>
                <w:rFonts w:ascii="Calibri" w:hAnsi="Calibri"/>
                <w:sz w:val="19"/>
              </w:rPr>
              <w:t>1</w:t>
            </w:r>
          </w:p>
        </w:tc>
        <w:tc>
          <w:tcPr>
            <w:tcW w:type="dxa" w:w="680"/>
            <w:shd w:val="clear" w:color="auto" w:fill="f9fafb"/>
          </w:tcPr>
          <w:p>
            <w:r>
              <w:rPr>
                <w:rFonts w:ascii="Calibri" w:hAnsi="Calibri"/>
                <w:sz w:val="19"/>
              </w:rPr>
              <w:t>2</w:t>
            </w:r>
          </w:p>
        </w:tc>
        <w:tc>
          <w:tcPr>
            <w:tcW w:type="dxa" w:w="680"/>
            <w:shd w:val="clear" w:color="auto" w:fill="f9fafb"/>
          </w:tcPr>
          <w:p>
            <w:r>
              <w:rPr>
                <w:rFonts w:ascii="Calibri" w:hAnsi="Calibri"/>
                <w:sz w:val="19"/>
              </w:rPr>
              <w:t>2</w:t>
            </w:r>
          </w:p>
        </w:tc>
        <w:tc>
          <w:tcPr>
            <w:tcW w:type="dxa" w:w="850"/>
            <w:shd w:val="clear" w:color="auto" w:fill="f9fafb"/>
          </w:tcPr>
          <w:p>
            <w:r>
              <w:rPr>
                <w:rFonts w:ascii="Calibri" w:hAnsi="Calibri"/>
                <w:sz w:val="19"/>
              </w:rPr>
              <w:t>10</w:t>
            </w:r>
          </w:p>
        </w:tc>
        <w:tc>
          <w:tcPr>
            <w:tcW w:type="dxa" w:w="1701"/>
            <w:shd w:val="clear" w:color="auto" w:fill="f9fafb"/>
          </w:tcPr>
          <w:p>
            <w:r>
              <w:rPr>
                <w:rFonts w:ascii="Calibri" w:hAnsi="Calibri"/>
                <w:sz w:val="19"/>
              </w:rPr>
              <w:t>72 DAR cells</w:t>
            </w:r>
          </w:p>
        </w:tc>
      </w:tr>
    </w:tbl>
    <w:p/>
    <w:tbl>
      <w:tblPr>
        <w:tblStyle w:val="TableGrid"/>
        <w:tblW w:type="auto" w:w="0"/>
        <w:tblLook w:firstColumn="1" w:firstRow="1" w:lastColumn="0" w:lastRow="0" w:noHBand="0" w:noVBand="1" w:val="04A0"/>
      </w:tblPr>
      <w:tblGrid>
        <w:gridCol w:w="9072"/>
      </w:tblGrid>
      <w:tr>
        <w:tc>
          <w:tcPr>
            <w:tcW w:type="dxa" w:w="9072"/>
            <w:shd w:val="clear" w:color="auto" w:fill="eff6ff"/>
          </w:tcPr>
          <w:p>
            <w:pPr>
              <w:spacing w:before="60" w:after="60"/>
            </w:pPr>
            <w:r>
              <w:rPr>
                <w:b/>
                <w:color w:val="1C3761"/>
                <w:sz w:val="19"/>
              </w:rPr>
              <w:t xml:space="preserve">NOTE:  </w:t>
            </w:r>
            <w:r>
              <w:rPr>
                <w:color w:val="1F2937"/>
                <w:sz w:val="19"/>
              </w:rPr>
              <w:t>Despite the sex/age gap, treatment outcomes for Baishak–Asar 2078 are strong: 179/209 registered patients were cured (85.6% TSR for the gap quarter), demonstrating programme continuity even during COVID-19 disruption.</w:t>
            </w:r>
          </w:p>
        </w:tc>
      </w:tr>
    </w:tbl>
    <w:p/>
    <w:p>
      <w:r>
        <w:br w:type="page"/>
      </w:r>
    </w:p>
    <w:p>
      <w:pPr>
        <w:pStyle w:val="Heading1"/>
      </w:pPr>
      <w:r>
        <w:t>Phase 7 — Visualization &amp; Dashboard</w:t>
      </w:r>
    </w:p>
    <w:tbl>
      <w:tblPr>
        <w:tblStyle w:val="TableGrid"/>
        <w:tblW w:type="auto" w:w="0"/>
        <w:jc w:val="center"/>
        <w:tblLook w:firstColumn="1" w:firstRow="1" w:lastColumn="0" w:lastRow="0" w:noHBand="0" w:noVBand="1" w:val="04A0"/>
      </w:tblPr>
      <w:tblGrid>
        <w:gridCol w:w="9072"/>
      </w:tblGrid>
      <w:tr>
        <w:tc>
          <w:tcPr>
            <w:tcW w:type="dxa" w:w="9072"/>
            <w:shd w:val="clear" w:color="auto" w:fill="eff6ff"/>
          </w:tcPr>
          <w:p>
            <w:pPr>
              <w:spacing w:before="80" w:after="80"/>
            </w:pPr>
            <w:r>
              <w:rPr>
                <w:b/>
                <w:color w:val="1C3761"/>
                <w:sz w:val="22"/>
              </w:rPr>
              <w:t>PHASE 7  —  Visualization &amp; Dashboard</w:t>
              <w:br/>
            </w:r>
            <w:r>
              <w:rPr>
                <w:b/>
                <w:color w:val="1C3761"/>
                <w:sz w:val="19"/>
              </w:rPr>
              <w:t xml:space="preserve">Objective: </w:t>
            </w:r>
            <w:r>
              <w:rPr>
                <w:color w:val="374151"/>
                <w:sz w:val="19"/>
              </w:rPr>
              <w:t>Make all 60 months of FHIR data accessible through interactive visualization and a FHIR R4 reference API.</w:t>
              <w:br/>
            </w:r>
            <w:r>
              <w:rPr>
                <w:b/>
                <w:color w:val="1C3761"/>
                <w:sz w:val="19"/>
              </w:rPr>
              <w:t xml:space="preserve">Inputs: </w:t>
            </w:r>
            <w:r>
              <w:rPr>
                <w:color w:val="374151"/>
                <w:sz w:val="19"/>
              </w:rPr>
              <w:t>Live FHIR API (fhir_server.py) serving 1,920 MeasureReports</w:t>
              <w:br/>
            </w:r>
            <w:r>
              <w:rPr>
                <w:b/>
                <w:color w:val="1C3761"/>
                <w:sz w:val="19"/>
              </w:rPr>
              <w:t xml:space="preserve">Outputs: </w:t>
            </w:r>
            <w:r>
              <w:rPr>
                <w:color w:val="374151"/>
                <w:sz w:val="19"/>
              </w:rPr>
              <w:t>Streamlit dashboard (dashboard.py), FastAPI FHIR server (fhir_server.py)</w:t>
              <w:br/>
            </w:r>
            <w:r>
              <w:rPr>
                <w:b/>
                <w:color w:val="1C3761"/>
                <w:sz w:val="19"/>
              </w:rPr>
              <w:t xml:space="preserve">Scripts: </w:t>
            </w:r>
            <w:r>
              <w:rPr>
                <w:color w:val="374151"/>
                <w:sz w:val="19"/>
              </w:rPr>
              <w:t>api/fhir_server.py, 09_visualization/dashboard.py</w:t>
              <w:br/>
            </w:r>
          </w:p>
        </w:tc>
      </w:tr>
    </w:tbl>
    <w:p/>
    <w:p>
      <w:pPr>
        <w:pStyle w:val="Heading2"/>
      </w:pPr>
      <w:r>
        <w:t>7.1  System Architecture</w:t>
      </w:r>
    </w:p>
    <w:p>
      <w:pPr>
        <w:spacing w:before="0" w:after="120"/>
        <w:jc w:val="left"/>
      </w:pPr>
      <w:r>
        <w:rPr>
          <w:rFonts w:ascii="Calibri" w:hAnsi="Calibri"/>
          <w:b w:val="0"/>
          <w:i w:val="0"/>
        </w:rPr>
        <w:t>The visualization layer consists of two components. The backend is a FastAPI FHIR R4 reference server that reads the 1,920 MeasureReport JSON files from disk and serves them via FHIR-conformant REST endpoints with application/fhir+json content type and CORS enabled. The frontend is a Streamlit application that queries the API endpoint GET /MeasureReport at startup (cached for 5 minutes), parses the FHIR bundle response, constructs a 60-row pandas DataFrame, computes 6 derived metrics, and renders 4 analytical sections with fully interactive Plotly charts.</w:t>
      </w:r>
    </w:p>
    <w:p>
      <w:pPr>
        <w:spacing w:before="0" w:after="120"/>
        <w:jc w:val="left"/>
      </w:pPr>
      <w:r>
        <w:rPr>
          <w:rFonts w:ascii="Calibri" w:hAnsi="Calibri"/>
          <w:b w:val="0"/>
          <w:i w:val="0"/>
        </w:rPr>
        <w:t>This FHIR-native architecture is significant: the dashboard does not read CSV files directly but consumes live FHIR data through a standards-compliant API. Any FHIR R4 compliant server (HAPI FHIR, Azure FHIR, Google Cloud FHIR) could replace fhir_server.py without changing the dashboard code.</w:t>
      </w:r>
    </w:p>
    <w:p>
      <w:pPr>
        <w:pStyle w:val="Heading2"/>
      </w:pPr>
      <w:r>
        <w:t>7.2  FHIR API Endpoints</w:t>
      </w:r>
    </w:p>
    <w:p>
      <w:pPr>
        <w:spacing w:before="160" w:after="40"/>
      </w:pPr>
      <w:r>
        <w:rPr>
          <w:i/>
          <w:color w:val="6B7280"/>
          <w:sz w:val="18"/>
        </w:rPr>
        <w:t>Table 7.1 — FHIR R4 API Endpoints</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984"/>
            <w:shd w:val="clear" w:color="auto" w:fill="1c3761"/>
          </w:tcPr>
          <w:p>
            <w:pPr>
              <w:jc w:val="center"/>
            </w:pPr>
            <w:r>
              <w:rPr>
                <w:rFonts w:ascii="Calibri" w:hAnsi="Calibri"/>
                <w:b/>
                <w:color w:val="FFFFFF"/>
                <w:sz w:val="19"/>
              </w:rPr>
              <w:t>Endpoint</w:t>
            </w:r>
          </w:p>
        </w:tc>
        <w:tc>
          <w:tcPr>
            <w:tcW w:type="dxa" w:w="850"/>
            <w:shd w:val="clear" w:color="auto" w:fill="1c3761"/>
          </w:tcPr>
          <w:p>
            <w:pPr>
              <w:jc w:val="center"/>
            </w:pPr>
            <w:r>
              <w:rPr>
                <w:rFonts w:ascii="Calibri" w:hAnsi="Calibri"/>
                <w:b/>
                <w:color w:val="FFFFFF"/>
                <w:sz w:val="19"/>
              </w:rPr>
              <w:t>HTTP</w:t>
            </w:r>
          </w:p>
        </w:tc>
        <w:tc>
          <w:tcPr>
            <w:tcW w:type="dxa" w:w="1984"/>
            <w:shd w:val="clear" w:color="auto" w:fill="1c3761"/>
          </w:tcPr>
          <w:p>
            <w:pPr>
              <w:jc w:val="center"/>
            </w:pPr>
            <w:r>
              <w:rPr>
                <w:rFonts w:ascii="Calibri" w:hAnsi="Calibri"/>
                <w:b/>
                <w:color w:val="FFFFFF"/>
                <w:sz w:val="19"/>
              </w:rPr>
              <w:t>FHIR Resource Type</w:t>
            </w:r>
          </w:p>
        </w:tc>
        <w:tc>
          <w:tcPr>
            <w:tcW w:type="dxa" w:w="1701"/>
            <w:shd w:val="clear" w:color="auto" w:fill="1c3761"/>
          </w:tcPr>
          <w:p>
            <w:pPr>
              <w:jc w:val="center"/>
            </w:pPr>
            <w:r>
              <w:rPr>
                <w:rFonts w:ascii="Calibri" w:hAnsi="Calibri"/>
                <w:b/>
                <w:color w:val="FFFFFF"/>
                <w:sz w:val="19"/>
              </w:rPr>
              <w:t>Response Format</w:t>
            </w:r>
          </w:p>
        </w:tc>
        <w:tc>
          <w:tcPr>
            <w:tcW w:type="dxa" w:w="2665"/>
            <w:shd w:val="clear" w:color="auto" w:fill="1c3761"/>
          </w:tcPr>
          <w:p>
            <w:pPr>
              <w:jc w:val="center"/>
            </w:pPr>
            <w:r>
              <w:rPr>
                <w:rFonts w:ascii="Calibri" w:hAnsi="Calibri"/>
                <w:b/>
                <w:color w:val="FFFFFF"/>
                <w:sz w:val="19"/>
              </w:rPr>
              <w:t>Notes</w:t>
            </w:r>
          </w:p>
        </w:tc>
      </w:tr>
      <w:tr>
        <w:tc>
          <w:tcPr>
            <w:tcW w:type="dxa" w:w="1984"/>
            <w:shd w:val="clear" w:color="auto" w:fill="ffffff"/>
          </w:tcPr>
          <w:p>
            <w:r>
              <w:rPr>
                <w:rFonts w:ascii="Calibri" w:hAnsi="Calibri"/>
                <w:sz w:val="19"/>
              </w:rPr>
              <w:t>/Measure</w:t>
            </w:r>
          </w:p>
        </w:tc>
        <w:tc>
          <w:tcPr>
            <w:tcW w:type="dxa" w:w="850"/>
            <w:shd w:val="clear" w:color="auto" w:fill="ffffff"/>
          </w:tcPr>
          <w:p>
            <w:r>
              <w:rPr>
                <w:rFonts w:ascii="Calibri" w:hAnsi="Calibri"/>
                <w:sz w:val="19"/>
              </w:rPr>
              <w:t>GET</w:t>
            </w:r>
          </w:p>
        </w:tc>
        <w:tc>
          <w:tcPr>
            <w:tcW w:type="dxa" w:w="1984"/>
            <w:shd w:val="clear" w:color="auto" w:fill="ffffff"/>
          </w:tcPr>
          <w:p>
            <w:r>
              <w:rPr>
                <w:rFonts w:ascii="Calibri" w:hAnsi="Calibri"/>
                <w:sz w:val="19"/>
              </w:rPr>
              <w:t>Bundle of Measures</w:t>
            </w:r>
          </w:p>
        </w:tc>
        <w:tc>
          <w:tcPr>
            <w:tcW w:type="dxa" w:w="1701"/>
            <w:shd w:val="clear" w:color="auto" w:fill="ffffff"/>
          </w:tcPr>
          <w:p>
            <w:r>
              <w:rPr>
                <w:rFonts w:ascii="Calibri" w:hAnsi="Calibri"/>
                <w:sz w:val="19"/>
              </w:rPr>
              <w:t>FHIR Bundle</w:t>
            </w:r>
          </w:p>
        </w:tc>
        <w:tc>
          <w:tcPr>
            <w:tcW w:type="dxa" w:w="2665"/>
            <w:shd w:val="clear" w:color="auto" w:fill="ffffff"/>
          </w:tcPr>
          <w:p>
            <w:r>
              <w:rPr>
                <w:rFonts w:ascii="Calibri" w:hAnsi="Calibri"/>
                <w:sz w:val="19"/>
              </w:rPr>
              <w:t>All 32 Measure definitions</w:t>
            </w:r>
          </w:p>
        </w:tc>
      </w:tr>
      <w:tr>
        <w:tc>
          <w:tcPr>
            <w:tcW w:type="dxa" w:w="1984"/>
            <w:shd w:val="clear" w:color="auto" w:fill="f9fafb"/>
          </w:tcPr>
          <w:p>
            <w:r>
              <w:rPr>
                <w:rFonts w:ascii="Calibri" w:hAnsi="Calibri"/>
                <w:sz w:val="19"/>
              </w:rPr>
              <w:t>/Measure/{id}</w:t>
            </w:r>
          </w:p>
        </w:tc>
        <w:tc>
          <w:tcPr>
            <w:tcW w:type="dxa" w:w="850"/>
            <w:shd w:val="clear" w:color="auto" w:fill="f9fafb"/>
          </w:tcPr>
          <w:p>
            <w:r>
              <w:rPr>
                <w:rFonts w:ascii="Calibri" w:hAnsi="Calibri"/>
                <w:sz w:val="19"/>
              </w:rPr>
              <w:t>GET</w:t>
            </w:r>
          </w:p>
        </w:tc>
        <w:tc>
          <w:tcPr>
            <w:tcW w:type="dxa" w:w="1984"/>
            <w:shd w:val="clear" w:color="auto" w:fill="f9fafb"/>
          </w:tcPr>
          <w:p>
            <w:r>
              <w:rPr>
                <w:rFonts w:ascii="Calibri" w:hAnsi="Calibri"/>
                <w:sz w:val="19"/>
              </w:rPr>
              <w:t>Measure</w:t>
            </w:r>
          </w:p>
        </w:tc>
        <w:tc>
          <w:tcPr>
            <w:tcW w:type="dxa" w:w="1701"/>
            <w:shd w:val="clear" w:color="auto" w:fill="f9fafb"/>
          </w:tcPr>
          <w:p>
            <w:r>
              <w:rPr>
                <w:rFonts w:ascii="Calibri" w:hAnsi="Calibri"/>
                <w:sz w:val="19"/>
              </w:rPr>
              <w:t>Single Measure JSON</w:t>
            </w:r>
          </w:p>
        </w:tc>
        <w:tc>
          <w:tcPr>
            <w:tcW w:type="dxa" w:w="2665"/>
            <w:shd w:val="clear" w:color="auto" w:fill="f9fafb"/>
          </w:tcPr>
          <w:p>
            <w:r>
              <w:rPr>
                <w:rFonts w:ascii="Calibri" w:hAnsi="Calibri"/>
                <w:sz w:val="19"/>
              </w:rPr>
              <w:t>By canonical ID</w:t>
            </w:r>
          </w:p>
        </w:tc>
      </w:tr>
      <w:tr>
        <w:tc>
          <w:tcPr>
            <w:tcW w:type="dxa" w:w="1984"/>
            <w:shd w:val="clear" w:color="auto" w:fill="ffffff"/>
          </w:tcPr>
          <w:p>
            <w:r>
              <w:rPr>
                <w:rFonts w:ascii="Calibri" w:hAnsi="Calibri"/>
                <w:sz w:val="19"/>
              </w:rPr>
              <w:t>/MeasureReport</w:t>
            </w:r>
          </w:p>
        </w:tc>
        <w:tc>
          <w:tcPr>
            <w:tcW w:type="dxa" w:w="850"/>
            <w:shd w:val="clear" w:color="auto" w:fill="ffffff"/>
          </w:tcPr>
          <w:p>
            <w:r>
              <w:rPr>
                <w:rFonts w:ascii="Calibri" w:hAnsi="Calibri"/>
                <w:sz w:val="19"/>
              </w:rPr>
              <w:t>GET</w:t>
            </w:r>
          </w:p>
        </w:tc>
        <w:tc>
          <w:tcPr>
            <w:tcW w:type="dxa" w:w="1984"/>
            <w:shd w:val="clear" w:color="auto" w:fill="ffffff"/>
          </w:tcPr>
          <w:p>
            <w:r>
              <w:rPr>
                <w:rFonts w:ascii="Calibri" w:hAnsi="Calibri"/>
                <w:sz w:val="19"/>
              </w:rPr>
              <w:t>Bundle of MeasureReports</w:t>
            </w:r>
          </w:p>
        </w:tc>
        <w:tc>
          <w:tcPr>
            <w:tcW w:type="dxa" w:w="1701"/>
            <w:shd w:val="clear" w:color="auto" w:fill="ffffff"/>
          </w:tcPr>
          <w:p>
            <w:r>
              <w:rPr>
                <w:rFonts w:ascii="Calibri" w:hAnsi="Calibri"/>
                <w:sz w:val="19"/>
              </w:rPr>
              <w:t>FHIR Bundle</w:t>
            </w:r>
          </w:p>
        </w:tc>
        <w:tc>
          <w:tcPr>
            <w:tcW w:type="dxa" w:w="2665"/>
            <w:shd w:val="clear" w:color="auto" w:fill="ffffff"/>
          </w:tcPr>
          <w:p>
            <w:r>
              <w:rPr>
                <w:rFonts w:ascii="Calibri" w:hAnsi="Calibri"/>
                <w:sz w:val="19"/>
              </w:rPr>
              <w:t>Dashboard primary feed</w:t>
            </w:r>
          </w:p>
        </w:tc>
      </w:tr>
      <w:tr>
        <w:tc>
          <w:tcPr>
            <w:tcW w:type="dxa" w:w="1984"/>
            <w:shd w:val="clear" w:color="auto" w:fill="f9fafb"/>
          </w:tcPr>
          <w:p>
            <w:r>
              <w:rPr>
                <w:rFonts w:ascii="Calibri" w:hAnsi="Calibri"/>
                <w:sz w:val="19"/>
              </w:rPr>
              <w:t>/MeasureReport/{id}</w:t>
            </w:r>
          </w:p>
        </w:tc>
        <w:tc>
          <w:tcPr>
            <w:tcW w:type="dxa" w:w="850"/>
            <w:shd w:val="clear" w:color="auto" w:fill="f9fafb"/>
          </w:tcPr>
          <w:p>
            <w:r>
              <w:rPr>
                <w:rFonts w:ascii="Calibri" w:hAnsi="Calibri"/>
                <w:sz w:val="19"/>
              </w:rPr>
              <w:t>GET</w:t>
            </w:r>
          </w:p>
        </w:tc>
        <w:tc>
          <w:tcPr>
            <w:tcW w:type="dxa" w:w="1984"/>
            <w:shd w:val="clear" w:color="auto" w:fill="f9fafb"/>
          </w:tcPr>
          <w:p>
            <w:r>
              <w:rPr>
                <w:rFonts w:ascii="Calibri" w:hAnsi="Calibri"/>
                <w:sz w:val="19"/>
              </w:rPr>
              <w:t>MeasureReport</w:t>
            </w:r>
          </w:p>
        </w:tc>
        <w:tc>
          <w:tcPr>
            <w:tcW w:type="dxa" w:w="1701"/>
            <w:shd w:val="clear" w:color="auto" w:fill="f9fafb"/>
          </w:tcPr>
          <w:p>
            <w:r>
              <w:rPr>
                <w:rFonts w:ascii="Calibri" w:hAnsi="Calibri"/>
                <w:sz w:val="19"/>
              </w:rPr>
              <w:t>Single MR JSON</w:t>
            </w:r>
          </w:p>
        </w:tc>
        <w:tc>
          <w:tcPr>
            <w:tcW w:type="dxa" w:w="2665"/>
            <w:shd w:val="clear" w:color="auto" w:fill="f9fafb"/>
          </w:tcPr>
          <w:p>
            <w:r>
              <w:rPr>
                <w:rFonts w:ascii="Calibri" w:hAnsi="Calibri"/>
                <w:sz w:val="19"/>
              </w:rPr>
              <w:t>By resource ID</w:t>
            </w:r>
          </w:p>
        </w:tc>
      </w:tr>
      <w:tr>
        <w:tc>
          <w:tcPr>
            <w:tcW w:type="dxa" w:w="1984"/>
            <w:shd w:val="clear" w:color="auto" w:fill="ffffff"/>
          </w:tcPr>
          <w:p>
            <w:r>
              <w:rPr>
                <w:rFonts w:ascii="Calibri" w:hAnsi="Calibri"/>
                <w:sz w:val="19"/>
              </w:rPr>
              <w:t>/Organization</w:t>
            </w:r>
          </w:p>
        </w:tc>
        <w:tc>
          <w:tcPr>
            <w:tcW w:type="dxa" w:w="850"/>
            <w:shd w:val="clear" w:color="auto" w:fill="ffffff"/>
          </w:tcPr>
          <w:p>
            <w:r>
              <w:rPr>
                <w:rFonts w:ascii="Calibri" w:hAnsi="Calibri"/>
                <w:sz w:val="19"/>
              </w:rPr>
              <w:t>GET</w:t>
            </w:r>
          </w:p>
        </w:tc>
        <w:tc>
          <w:tcPr>
            <w:tcW w:type="dxa" w:w="1984"/>
            <w:shd w:val="clear" w:color="auto" w:fill="ffffff"/>
          </w:tcPr>
          <w:p>
            <w:r>
              <w:rPr>
                <w:rFonts w:ascii="Calibri" w:hAnsi="Calibri"/>
                <w:sz w:val="19"/>
              </w:rPr>
              <w:t>Bundle of Organizations</w:t>
            </w:r>
          </w:p>
        </w:tc>
        <w:tc>
          <w:tcPr>
            <w:tcW w:type="dxa" w:w="1701"/>
            <w:shd w:val="clear" w:color="auto" w:fill="ffffff"/>
          </w:tcPr>
          <w:p>
            <w:r>
              <w:rPr>
                <w:rFonts w:ascii="Calibri" w:hAnsi="Calibri"/>
                <w:sz w:val="19"/>
              </w:rPr>
              <w:t>FHIR Bundle</w:t>
            </w:r>
          </w:p>
        </w:tc>
        <w:tc>
          <w:tcPr>
            <w:tcW w:type="dxa" w:w="2665"/>
            <w:shd w:val="clear" w:color="auto" w:fill="ffffff"/>
          </w:tcPr>
          <w:p>
            <w:r>
              <w:rPr>
                <w:rFonts w:ascii="Calibri" w:hAnsi="Calibri"/>
                <w:sz w:val="19"/>
              </w:rPr>
              <w:t>MoHP + NTP</w:t>
            </w:r>
          </w:p>
        </w:tc>
      </w:tr>
      <w:tr>
        <w:tc>
          <w:tcPr>
            <w:tcW w:type="dxa" w:w="1984"/>
            <w:shd w:val="clear" w:color="auto" w:fill="f9fafb"/>
          </w:tcPr>
          <w:p>
            <w:r>
              <w:rPr>
                <w:rFonts w:ascii="Calibri" w:hAnsi="Calibri"/>
                <w:sz w:val="19"/>
              </w:rPr>
              <w:t>/Location</w:t>
            </w:r>
          </w:p>
        </w:tc>
        <w:tc>
          <w:tcPr>
            <w:tcW w:type="dxa" w:w="850"/>
            <w:shd w:val="clear" w:color="auto" w:fill="f9fafb"/>
          </w:tcPr>
          <w:p>
            <w:r>
              <w:rPr>
                <w:rFonts w:ascii="Calibri" w:hAnsi="Calibri"/>
                <w:sz w:val="19"/>
              </w:rPr>
              <w:t>GET</w:t>
            </w:r>
          </w:p>
        </w:tc>
        <w:tc>
          <w:tcPr>
            <w:tcW w:type="dxa" w:w="1984"/>
            <w:shd w:val="clear" w:color="auto" w:fill="f9fafb"/>
          </w:tcPr>
          <w:p>
            <w:r>
              <w:rPr>
                <w:rFonts w:ascii="Calibri" w:hAnsi="Calibri"/>
                <w:sz w:val="19"/>
              </w:rPr>
              <w:t>Bundle of Locations</w:t>
            </w:r>
          </w:p>
        </w:tc>
        <w:tc>
          <w:tcPr>
            <w:tcW w:type="dxa" w:w="1701"/>
            <w:shd w:val="clear" w:color="auto" w:fill="f9fafb"/>
          </w:tcPr>
          <w:p>
            <w:r>
              <w:rPr>
                <w:rFonts w:ascii="Calibri" w:hAnsi="Calibri"/>
                <w:sz w:val="19"/>
              </w:rPr>
              <w:t>FHIR Bundle</w:t>
            </w:r>
          </w:p>
        </w:tc>
        <w:tc>
          <w:tcPr>
            <w:tcW w:type="dxa" w:w="2665"/>
            <w:shd w:val="clear" w:color="auto" w:fill="f9fafb"/>
          </w:tcPr>
          <w:p>
            <w:r>
              <w:rPr>
                <w:rFonts w:ascii="Calibri" w:hAnsi="Calibri"/>
                <w:sz w:val="19"/>
              </w:rPr>
              <w:t>Kathmandu District</w:t>
            </w:r>
          </w:p>
        </w:tc>
      </w:tr>
    </w:tbl>
    <w:p/>
    <w:p>
      <w:pPr>
        <w:pStyle w:val="Heading2"/>
      </w:pPr>
      <w:r>
        <w:t>7.3  Dashboard Sections &amp; Derived Metrics</w:t>
      </w:r>
    </w:p>
    <w:p>
      <w:pPr>
        <w:spacing w:before="160" w:after="40"/>
      </w:pPr>
      <w:r>
        <w:rPr>
          <w:i/>
          <w:color w:val="6B7280"/>
          <w:sz w:val="18"/>
        </w:rPr>
        <w:t>Table 7.2 — Dashboard Sections and Derived Metric Formulas</w:t>
      </w:r>
    </w:p>
    <w:tbl>
      <w:tblPr>
        <w:tblStyle w:val="TableGrid"/>
        <w:tblW w:type="auto" w:w="0"/>
        <w:jc w:val="center"/>
        <w:tblLook w:firstColumn="1" w:firstRow="1" w:lastColumn="0" w:lastRow="0" w:noHBand="0" w:noVBand="1" w:val="04A0"/>
      </w:tblPr>
      <w:tblGrid>
        <w:gridCol w:w="3024"/>
        <w:gridCol w:w="3024"/>
        <w:gridCol w:w="3024"/>
      </w:tblGrid>
      <w:tr>
        <w:tc>
          <w:tcPr>
            <w:tcW w:type="dxa" w:w="1984"/>
            <w:shd w:val="clear" w:color="auto" w:fill="1c3761"/>
          </w:tcPr>
          <w:p>
            <w:pPr>
              <w:jc w:val="center"/>
            </w:pPr>
            <w:r>
              <w:rPr>
                <w:rFonts w:ascii="Calibri" w:hAnsi="Calibri"/>
                <w:b/>
                <w:color w:val="FFFFFF"/>
                <w:sz w:val="19"/>
              </w:rPr>
              <w:t>Dashboard Section</w:t>
            </w:r>
          </w:p>
        </w:tc>
        <w:tc>
          <w:tcPr>
            <w:tcW w:type="dxa" w:w="3118"/>
            <w:shd w:val="clear" w:color="auto" w:fill="1c3761"/>
          </w:tcPr>
          <w:p>
            <w:pPr>
              <w:jc w:val="center"/>
            </w:pPr>
            <w:r>
              <w:rPr>
                <w:rFonts w:ascii="Calibri" w:hAnsi="Calibri"/>
                <w:b/>
                <w:color w:val="FFFFFF"/>
                <w:sz w:val="19"/>
              </w:rPr>
              <w:t>Content</w:t>
            </w:r>
          </w:p>
        </w:tc>
        <w:tc>
          <w:tcPr>
            <w:tcW w:type="dxa" w:w="4082"/>
            <w:shd w:val="clear" w:color="auto" w:fill="1c3761"/>
          </w:tcPr>
          <w:p>
            <w:pPr>
              <w:jc w:val="center"/>
            </w:pPr>
            <w:r>
              <w:rPr>
                <w:rFonts w:ascii="Calibri" w:hAnsi="Calibri"/>
                <w:b/>
                <w:color w:val="FFFFFF"/>
                <w:sz w:val="19"/>
              </w:rPr>
              <w:t>Derived Metric Formula</w:t>
            </w:r>
          </w:p>
        </w:tc>
      </w:tr>
      <w:tr>
        <w:tc>
          <w:tcPr>
            <w:tcW w:type="dxa" w:w="1984"/>
            <w:shd w:val="clear" w:color="auto" w:fill="ffffff"/>
          </w:tcPr>
          <w:p>
            <w:r>
              <w:rPr>
                <w:rFonts w:ascii="Calibri" w:hAnsi="Calibri"/>
                <w:sz w:val="19"/>
              </w:rPr>
              <w:t>1. Executive KPIs</w:t>
            </w:r>
          </w:p>
        </w:tc>
        <w:tc>
          <w:tcPr>
            <w:tcW w:type="dxa" w:w="3118"/>
            <w:shd w:val="clear" w:color="auto" w:fill="ffffff"/>
          </w:tcPr>
          <w:p>
            <w:r>
              <w:rPr>
                <w:rFonts w:ascii="Calibri" w:hAnsi="Calibri"/>
                <w:sz w:val="19"/>
              </w:rPr>
              <w:t>Total new cases, TSR, notification rate, M:F ratio</w:t>
            </w:r>
          </w:p>
        </w:tc>
        <w:tc>
          <w:tcPr>
            <w:tcW w:type="dxa" w:w="4082"/>
            <w:shd w:val="clear" w:color="auto" w:fill="ffffff"/>
          </w:tcPr>
          <w:p>
            <w:r>
              <w:rPr>
                <w:rFonts w:ascii="Calibri" w:hAnsi="Calibri"/>
                <w:sz w:val="19"/>
              </w:rPr>
              <w:t>TSR = cured/pbc_reg; Rate = cases×12/pop×100k; M:F = male/female</w:t>
            </w:r>
          </w:p>
        </w:tc>
      </w:tr>
      <w:tr>
        <w:tc>
          <w:tcPr>
            <w:tcW w:type="dxa" w:w="1984"/>
            <w:shd w:val="clear" w:color="auto" w:fill="f9fafb"/>
          </w:tcPr>
          <w:p>
            <w:r>
              <w:rPr>
                <w:rFonts w:ascii="Calibri" w:hAnsi="Calibri"/>
                <w:sz w:val="19"/>
              </w:rPr>
              <w:t>2. Monthly Trends</w:t>
            </w:r>
          </w:p>
        </w:tc>
        <w:tc>
          <w:tcPr>
            <w:tcW w:type="dxa" w:w="3118"/>
            <w:shd w:val="clear" w:color="auto" w:fill="f9fafb"/>
          </w:tcPr>
          <w:p>
            <w:r>
              <w:rPr>
                <w:rFonts w:ascii="Calibri" w:hAnsi="Calibri"/>
                <w:sz w:val="19"/>
              </w:rPr>
              <w:t>12-metric time series with year-overlay option</w:t>
            </w:r>
          </w:p>
        </w:tc>
        <w:tc>
          <w:tcPr>
            <w:tcW w:type="dxa" w:w="4082"/>
            <w:shd w:val="clear" w:color="auto" w:fill="f9fafb"/>
          </w:tcPr>
          <w:p>
            <w:r>
              <w:rPr>
                <w:rFonts w:ascii="Calibri" w:hAnsi="Calibri"/>
                <w:sz w:val="19"/>
              </w:rPr>
              <w:t>All metrics selectable from dropdown</w:t>
            </w:r>
          </w:p>
        </w:tc>
      </w:tr>
      <w:tr>
        <w:tc>
          <w:tcPr>
            <w:tcW w:type="dxa" w:w="1984"/>
            <w:shd w:val="clear" w:color="auto" w:fill="ffffff"/>
          </w:tcPr>
          <w:p>
            <w:r>
              <w:rPr>
                <w:rFonts w:ascii="Calibri" w:hAnsi="Calibri"/>
                <w:sz w:val="19"/>
              </w:rPr>
              <w:t>3. Age-Sex Pyramid</w:t>
            </w:r>
          </w:p>
        </w:tc>
        <w:tc>
          <w:tcPr>
            <w:tcW w:type="dxa" w:w="3118"/>
            <w:shd w:val="clear" w:color="auto" w:fill="ffffff"/>
          </w:tcPr>
          <w:p>
            <w:r>
              <w:rPr>
                <w:rFonts w:ascii="Calibri" w:hAnsi="Calibri"/>
                <w:sz w:val="19"/>
              </w:rPr>
              <w:t>Population pyramid (horizontal bar) with summary table</w:t>
            </w:r>
          </w:p>
        </w:tc>
        <w:tc>
          <w:tcPr>
            <w:tcW w:type="dxa" w:w="4082"/>
            <w:shd w:val="clear" w:color="auto" w:fill="ffffff"/>
          </w:tcPr>
          <w:p>
            <w:r>
              <w:rPr>
                <w:rFonts w:ascii="Calibri" w:hAnsi="Calibri"/>
                <w:sz w:val="19"/>
              </w:rPr>
              <w:t>Female-left, male-right; aggregated over selected years</w:t>
            </w:r>
          </w:p>
        </w:tc>
      </w:tr>
      <w:tr>
        <w:tc>
          <w:tcPr>
            <w:tcW w:type="dxa" w:w="1984"/>
            <w:shd w:val="clear" w:color="auto" w:fill="f9fafb"/>
          </w:tcPr>
          <w:p>
            <w:r>
              <w:rPr>
                <w:rFonts w:ascii="Calibri" w:hAnsi="Calibri"/>
                <w:sz w:val="19"/>
              </w:rPr>
              <w:t>4. Treatment Outcomes</w:t>
            </w:r>
          </w:p>
        </w:tc>
        <w:tc>
          <w:tcPr>
            <w:tcW w:type="dxa" w:w="3118"/>
            <w:shd w:val="clear" w:color="auto" w:fill="f9fafb"/>
          </w:tcPr>
          <w:p>
            <w:r>
              <w:rPr>
                <w:rFonts w:ascii="Calibri" w:hAnsi="Calibri"/>
                <w:sz w:val="19"/>
              </w:rPr>
              <w:t>Outcome KPI cards, horizontal bar chart, annual TSR bars</w:t>
            </w:r>
          </w:p>
        </w:tc>
        <w:tc>
          <w:tcPr>
            <w:tcW w:type="dxa" w:w="4082"/>
            <w:shd w:val="clear" w:color="auto" w:fill="f9fafb"/>
          </w:tcPr>
          <w:p>
            <w:r>
              <w:rPr>
                <w:rFonts w:ascii="Calibri" w:hAnsi="Calibri"/>
                <w:sz w:val="19"/>
              </w:rPr>
              <w:t>All from pbc_reg cohort counts</w:t>
            </w:r>
          </w:p>
        </w:tc>
      </w:tr>
    </w:tbl>
    <w:p/>
    <w:p>
      <w:pPr>
        <w:pStyle w:val="Heading2"/>
      </w:pPr>
      <w:r>
        <w:t>7.4  Epidemiological Findings from Dashboard Analysis</w:t>
      </w:r>
    </w:p>
    <w:p>
      <w:pPr>
        <w:pStyle w:val="Heading3"/>
      </w:pPr>
      <w:r>
        <w:t>7.4.1  Seasonal Pattern</w:t>
      </w:r>
    </w:p>
    <w:p>
      <w:pPr>
        <w:spacing w:before="0" w:after="120"/>
        <w:jc w:val="left"/>
      </w:pPr>
      <w:r>
        <w:rPr>
          <w:rFonts w:ascii="Calibri" w:hAnsi="Calibri"/>
          <w:b w:val="0"/>
          <w:i w:val="0"/>
        </w:rPr>
        <w:t>Overlaying all five BS years reveals a consistent seasonal pattern. New TB cases peak during Asar–Bhadra (June–August), coinciding with the monsoon season and increased indoor crowding. A secondary trough occurs during Magh–Falgun (January–March), the winter months. This pattern is epidemiologically consistent with known TB seasonality in South Asian urban centres.</w:t>
      </w:r>
    </w:p>
    <w:p>
      <w:pPr>
        <w:jc w:val="center"/>
      </w:pPr>
      <w:r>
        <w:drawing>
          <wp:inline xmlns:a="http://schemas.openxmlformats.org/drawingml/2006/main" xmlns:pic="http://schemas.openxmlformats.org/drawingml/2006/picture">
            <wp:extent cx="5486400" cy="2664823"/>
            <wp:docPr id="19" name="Picture 19"/>
            <wp:cNvGraphicFramePr>
              <a:graphicFrameLocks noChangeAspect="1"/>
            </wp:cNvGraphicFramePr>
            <a:graphic>
              <a:graphicData uri="http://schemas.openxmlformats.org/drawingml/2006/picture">
                <pic:pic>
                  <pic:nvPicPr>
                    <pic:cNvPr id="0" name="chart_019.png"/>
                    <pic:cNvPicPr/>
                  </pic:nvPicPr>
                  <pic:blipFill>
                    <a:blip r:embed="rId27"/>
                    <a:stretch>
                      <a:fillRect/>
                    </a:stretch>
                  </pic:blipFill>
                  <pic:spPr>
                    <a:xfrm>
                      <a:off x="0" y="0"/>
                      <a:ext cx="5486400" cy="2664823"/>
                    </a:xfrm>
                    <a:prstGeom prst="rect"/>
                  </pic:spPr>
                </pic:pic>
              </a:graphicData>
            </a:graphic>
          </wp:inline>
        </w:drawing>
      </w:r>
    </w:p>
    <w:p>
      <w:pPr>
        <w:spacing w:before="40" w:after="160"/>
        <w:jc w:val="center"/>
      </w:pPr>
      <w:r>
        <w:rPr>
          <w:i/>
          <w:color w:val="6B7280"/>
          <w:sz w:val="18"/>
        </w:rPr>
        <w:t>Figure 7.1 — Monthly new TB cases seasonal overlay, all 5 BS years</w:t>
      </w:r>
    </w:p>
    <w:p>
      <w:pPr>
        <w:pStyle w:val="Heading3"/>
      </w:pPr>
      <w:r>
        <w:t>7.4.2  Female vs. Male Trends</w:t>
      </w:r>
    </w:p>
    <w:p>
      <w:pPr>
        <w:spacing w:before="0" w:after="120"/>
        <w:jc w:val="left"/>
      </w:pPr>
      <w:r>
        <w:rPr>
          <w:rFonts w:ascii="Calibri" w:hAnsi="Calibri"/>
          <w:b w:val="0"/>
          <w:i w:val="0"/>
        </w:rPr>
        <w:t>Male cases consistently exceed female cases across all 57 complete months. Both series follow the same seasonal pattern, suggesting shared environmental exposure drivers. The gap widens modestly in high-burden months, potentially reflecting greater occupational exposure among males.</w:t>
      </w:r>
    </w:p>
    <w:p>
      <w:pPr>
        <w:jc w:val="center"/>
      </w:pPr>
      <w:r>
        <w:drawing>
          <wp:inline xmlns:a="http://schemas.openxmlformats.org/drawingml/2006/main" xmlns:pic="http://schemas.openxmlformats.org/drawingml/2006/picture">
            <wp:extent cx="5486400" cy="2508069"/>
            <wp:docPr id="20" name="Picture 20"/>
            <wp:cNvGraphicFramePr>
              <a:graphicFrameLocks noChangeAspect="1"/>
            </wp:cNvGraphicFramePr>
            <a:graphic>
              <a:graphicData uri="http://schemas.openxmlformats.org/drawingml/2006/picture">
                <pic:pic>
                  <pic:nvPicPr>
                    <pic:cNvPr id="0" name="chart_020.png"/>
                    <pic:cNvPicPr/>
                  </pic:nvPicPr>
                  <pic:blipFill>
                    <a:blip r:embed="rId28"/>
                    <a:stretch>
                      <a:fillRect/>
                    </a:stretch>
                  </pic:blipFill>
                  <pic:spPr>
                    <a:xfrm>
                      <a:off x="0" y="0"/>
                      <a:ext cx="5486400" cy="2508069"/>
                    </a:xfrm>
                    <a:prstGeom prst="rect"/>
                  </pic:spPr>
                </pic:pic>
              </a:graphicData>
            </a:graphic>
          </wp:inline>
        </w:drawing>
      </w:r>
    </w:p>
    <w:p>
      <w:pPr>
        <w:spacing w:before="40" w:after="160"/>
        <w:jc w:val="center"/>
      </w:pPr>
      <w:r>
        <w:rPr>
          <w:i/>
          <w:color w:val="6B7280"/>
          <w:sz w:val="18"/>
        </w:rPr>
        <w:t>Figure 7.2 — Monthly new cases: female (pink) vs. male (blue), 57 complete months</w:t>
      </w:r>
    </w:p>
    <w:p>
      <w:pPr>
        <w:pStyle w:val="Heading3"/>
      </w:pPr>
      <w:r>
        <w:t>7.4.3  Annual Case Volume</w:t>
      </w:r>
    </w:p>
    <w:p>
      <w:pPr>
        <w:jc w:val="center"/>
      </w:pPr>
      <w:r>
        <w:drawing>
          <wp:inline xmlns:a="http://schemas.openxmlformats.org/drawingml/2006/main" xmlns:pic="http://schemas.openxmlformats.org/drawingml/2006/picture">
            <wp:extent cx="5486400" cy="2586445"/>
            <wp:docPr id="21" name="Picture 21"/>
            <wp:cNvGraphicFramePr>
              <a:graphicFrameLocks noChangeAspect="1"/>
            </wp:cNvGraphicFramePr>
            <a:graphic>
              <a:graphicData uri="http://schemas.openxmlformats.org/drawingml/2006/picture">
                <pic:pic>
                  <pic:nvPicPr>
                    <pic:cNvPr id="0" name="chart_021.png"/>
                    <pic:cNvPicPr/>
                  </pic:nvPicPr>
                  <pic:blipFill>
                    <a:blip r:embed="rId29"/>
                    <a:stretch>
                      <a:fillRect/>
                    </a:stretch>
                  </pic:blipFill>
                  <pic:spPr>
                    <a:xfrm>
                      <a:off x="0" y="0"/>
                      <a:ext cx="5486400" cy="2586445"/>
                    </a:xfrm>
                    <a:prstGeom prst="rect"/>
                  </pic:spPr>
                </pic:pic>
              </a:graphicData>
            </a:graphic>
          </wp:inline>
        </w:drawing>
      </w:r>
    </w:p>
    <w:p>
      <w:pPr>
        <w:spacing w:before="40" w:after="160"/>
        <w:jc w:val="center"/>
      </w:pPr>
      <w:r>
        <w:rPr>
          <w:i/>
          <w:color w:val="6B7280"/>
          <w:sz w:val="18"/>
        </w:rPr>
        <w:t>Figure 7.3 — Annual new TB cases (bars) and monthly average (line)</w:t>
      </w:r>
    </w:p>
    <w:p>
      <w:pPr>
        <w:pStyle w:val="Heading3"/>
      </w:pPr>
      <w:r>
        <w:t>7.4.4  Age-Sex Distribution</w:t>
      </w:r>
    </w:p>
    <w:p>
      <w:pPr>
        <w:spacing w:before="0" w:after="120"/>
        <w:jc w:val="left"/>
      </w:pPr>
      <w:r>
        <w:rPr>
          <w:rFonts w:ascii="Calibri" w:hAnsi="Calibri"/>
          <w:b w:val="0"/>
          <w:i w:val="0"/>
        </w:rPr>
        <w:t>The age-sex pyramid confirms the classic working-age TB pattern. The 15–24 age group carries the highest burden (26.2% of cases), followed by 25–34 (21.0%). This bimodal young-adult concentration is consistent with Kathmandu's demographic profile as a migration destination for working-age adults from rural Nepal, where TB exposure rates are higher.</w:t>
      </w:r>
    </w:p>
    <w:p>
      <w:pPr>
        <w:jc w:val="center"/>
      </w:pPr>
      <w:r>
        <w:drawing>
          <wp:inline xmlns:a="http://schemas.openxmlformats.org/drawingml/2006/main" xmlns:pic="http://schemas.openxmlformats.org/drawingml/2006/picture">
            <wp:extent cx="5486400" cy="2899954"/>
            <wp:docPr id="22" name="Picture 22"/>
            <wp:cNvGraphicFramePr>
              <a:graphicFrameLocks noChangeAspect="1"/>
            </wp:cNvGraphicFramePr>
            <a:graphic>
              <a:graphicData uri="http://schemas.openxmlformats.org/drawingml/2006/picture">
                <pic:pic>
                  <pic:nvPicPr>
                    <pic:cNvPr id="0" name="chart_022.png"/>
                    <pic:cNvPicPr/>
                  </pic:nvPicPr>
                  <pic:blipFill>
                    <a:blip r:embed="rId30"/>
                    <a:stretch>
                      <a:fillRect/>
                    </a:stretch>
                  </pic:blipFill>
                  <pic:spPr>
                    <a:xfrm>
                      <a:off x="0" y="0"/>
                      <a:ext cx="5486400" cy="2899954"/>
                    </a:xfrm>
                    <a:prstGeom prst="rect"/>
                  </pic:spPr>
                </pic:pic>
              </a:graphicData>
            </a:graphic>
          </wp:inline>
        </w:drawing>
      </w:r>
    </w:p>
    <w:p>
      <w:pPr>
        <w:spacing w:before="40" w:after="160"/>
        <w:jc w:val="center"/>
      </w:pPr>
      <w:r>
        <w:rPr>
          <w:i/>
          <w:color w:val="6B7280"/>
          <w:sz w:val="18"/>
        </w:rPr>
        <w:t>Figure 7.4 — Age-sex population pyramid, 57 complete months</w:t>
      </w:r>
    </w:p>
    <w:p>
      <w:pPr>
        <w:jc w:val="center"/>
      </w:pPr>
      <w:r>
        <w:drawing>
          <wp:inline xmlns:a="http://schemas.openxmlformats.org/drawingml/2006/main" xmlns:pic="http://schemas.openxmlformats.org/drawingml/2006/picture">
            <wp:extent cx="5029200" cy="2227217"/>
            <wp:docPr id="23" name="Picture 23"/>
            <wp:cNvGraphicFramePr>
              <a:graphicFrameLocks noChangeAspect="1"/>
            </wp:cNvGraphicFramePr>
            <a:graphic>
              <a:graphicData uri="http://schemas.openxmlformats.org/drawingml/2006/picture">
                <pic:pic>
                  <pic:nvPicPr>
                    <pic:cNvPr id="0" name="chart_023.png"/>
                    <pic:cNvPicPr/>
                  </pic:nvPicPr>
                  <pic:blipFill>
                    <a:blip r:embed="rId31"/>
                    <a:stretch>
                      <a:fillRect/>
                    </a:stretch>
                  </pic:blipFill>
                  <pic:spPr>
                    <a:xfrm>
                      <a:off x="0" y="0"/>
                      <a:ext cx="5029200" cy="2227217"/>
                    </a:xfrm>
                    <a:prstGeom prst="rect"/>
                  </pic:spPr>
                </pic:pic>
              </a:graphicData>
            </a:graphic>
          </wp:inline>
        </w:drawing>
      </w:r>
    </w:p>
    <w:p>
      <w:pPr>
        <w:spacing w:before="40" w:after="160"/>
        <w:jc w:val="center"/>
      </w:pPr>
      <w:r>
        <w:rPr>
          <w:i/>
          <w:color w:val="6B7280"/>
          <w:sz w:val="18"/>
        </w:rPr>
        <w:t>Figure 7.5 — Mean age group share of new TB cases (57 months)</w:t>
      </w:r>
    </w:p>
    <w:p>
      <w:pPr>
        <w:pStyle w:val="Heading3"/>
      </w:pPr>
      <w:r>
        <w:t>7.4.5  Treatment Outcomes</w:t>
      </w:r>
    </w:p>
    <w:p>
      <w:pPr>
        <w:spacing w:before="0" w:after="120"/>
        <w:jc w:val="left"/>
      </w:pPr>
      <w:r>
        <w:rPr>
          <w:rFonts w:ascii="Calibri" w:hAnsi="Calibri"/>
          <w:b w:val="0"/>
          <w:i w:val="0"/>
        </w:rPr>
        <w:t>Over 60 months, 5,860 of 6,974 PBC-registered patients were cured (84.0%). LTFU remained very low at a mean of 1.9% across the study period. Mortality averaged 2.2%. The not-evaluated category (mean 4.3%) warrants monitoring as it can mask true treatment failures when outcome recording is incomplete.</w:t>
      </w:r>
    </w:p>
    <w:p>
      <w:pPr>
        <w:jc w:val="center"/>
      </w:pPr>
      <w:r>
        <w:drawing>
          <wp:inline xmlns:a="http://schemas.openxmlformats.org/drawingml/2006/main" xmlns:pic="http://schemas.openxmlformats.org/drawingml/2006/picture">
            <wp:extent cx="4572000" cy="2220686"/>
            <wp:docPr id="24" name="Picture 24"/>
            <wp:cNvGraphicFramePr>
              <a:graphicFrameLocks noChangeAspect="1"/>
            </wp:cNvGraphicFramePr>
            <a:graphic>
              <a:graphicData uri="http://schemas.openxmlformats.org/drawingml/2006/picture">
                <pic:pic>
                  <pic:nvPicPr>
                    <pic:cNvPr id="0" name="chart_024.png"/>
                    <pic:cNvPicPr/>
                  </pic:nvPicPr>
                  <pic:blipFill>
                    <a:blip r:embed="rId32"/>
                    <a:stretch>
                      <a:fillRect/>
                    </a:stretch>
                  </pic:blipFill>
                  <pic:spPr>
                    <a:xfrm>
                      <a:off x="0" y="0"/>
                      <a:ext cx="4572000" cy="2220686"/>
                    </a:xfrm>
                    <a:prstGeom prst="rect"/>
                  </pic:spPr>
                </pic:pic>
              </a:graphicData>
            </a:graphic>
          </wp:inline>
        </w:drawing>
      </w:r>
    </w:p>
    <w:p>
      <w:pPr>
        <w:spacing w:before="40" w:after="160"/>
        <w:jc w:val="center"/>
      </w:pPr>
      <w:r>
        <w:rPr>
          <w:i/>
          <w:color w:val="6B7280"/>
          <w:sz w:val="18"/>
        </w:rPr>
        <w:t>Figure 7.6 — Treatment outcome distribution (5-year aggregate)</w:t>
      </w:r>
    </w:p>
    <w:p>
      <w:pPr>
        <w:jc w:val="center"/>
      </w:pPr>
      <w:r>
        <w:drawing>
          <wp:inline xmlns:a="http://schemas.openxmlformats.org/drawingml/2006/main" xmlns:pic="http://schemas.openxmlformats.org/drawingml/2006/picture">
            <wp:extent cx="5486400" cy="2586445"/>
            <wp:docPr id="25" name="Picture 25"/>
            <wp:cNvGraphicFramePr>
              <a:graphicFrameLocks noChangeAspect="1"/>
            </wp:cNvGraphicFramePr>
            <a:graphic>
              <a:graphicData uri="http://schemas.openxmlformats.org/drawingml/2006/picture">
                <pic:pic>
                  <pic:nvPicPr>
                    <pic:cNvPr id="0" name="chart_025.png"/>
                    <pic:cNvPicPr/>
                  </pic:nvPicPr>
                  <pic:blipFill>
                    <a:blip r:embed="rId33"/>
                    <a:stretch>
                      <a:fillRect/>
                    </a:stretch>
                  </pic:blipFill>
                  <pic:spPr>
                    <a:xfrm>
                      <a:off x="0" y="0"/>
                      <a:ext cx="5486400" cy="2586445"/>
                    </a:xfrm>
                    <a:prstGeom prst="rect"/>
                  </pic:spPr>
                </pic:pic>
              </a:graphicData>
            </a:graphic>
          </wp:inline>
        </w:drawing>
      </w:r>
    </w:p>
    <w:p>
      <w:pPr>
        <w:spacing w:before="40" w:after="160"/>
        <w:jc w:val="center"/>
      </w:pPr>
      <w:r>
        <w:rPr>
          <w:i/>
          <w:color w:val="6B7280"/>
          <w:sz w:val="18"/>
        </w:rPr>
        <w:t>Figure 7.7 — Annual treatment outcome breakdown (stacked bar, BS 2078–2082)</w:t>
      </w:r>
    </w:p>
    <w:p>
      <w:pPr>
        <w:pStyle w:val="Heading3"/>
      </w:pPr>
      <w:r>
        <w:t>7.4.6  PBC Cohort &amp; Bacteriological Confirmation</w:t>
      </w:r>
    </w:p>
    <w:p>
      <w:pPr>
        <w:jc w:val="center"/>
      </w:pPr>
      <w:r>
        <w:drawing>
          <wp:inline xmlns:a="http://schemas.openxmlformats.org/drawingml/2006/main" xmlns:pic="http://schemas.openxmlformats.org/drawingml/2006/picture">
            <wp:extent cx="5486400" cy="2429691"/>
            <wp:docPr id="26" name="Picture 26"/>
            <wp:cNvGraphicFramePr>
              <a:graphicFrameLocks noChangeAspect="1"/>
            </wp:cNvGraphicFramePr>
            <a:graphic>
              <a:graphicData uri="http://schemas.openxmlformats.org/drawingml/2006/picture">
                <pic:pic>
                  <pic:nvPicPr>
                    <pic:cNvPr id="0" name="chart_026.png"/>
                    <pic:cNvPicPr/>
                  </pic:nvPicPr>
                  <pic:blipFill>
                    <a:blip r:embed="rId34"/>
                    <a:stretch>
                      <a:fillRect/>
                    </a:stretch>
                  </pic:blipFill>
                  <pic:spPr>
                    <a:xfrm>
                      <a:off x="0" y="0"/>
                      <a:ext cx="5486400" cy="2429691"/>
                    </a:xfrm>
                    <a:prstGeom prst="rect"/>
                  </pic:spPr>
                </pic:pic>
              </a:graphicData>
            </a:graphic>
          </wp:inline>
        </w:drawing>
      </w:r>
    </w:p>
    <w:p>
      <w:pPr>
        <w:spacing w:before="40" w:after="160"/>
        <w:jc w:val="center"/>
      </w:pPr>
      <w:r>
        <w:rPr>
          <w:i/>
          <w:color w:val="6B7280"/>
          <w:sz w:val="18"/>
        </w:rPr>
        <w:t>Figure 7.8 — PBC-registered cohort monthly count with 6-month rolling average</w:t>
      </w:r>
    </w:p>
    <w:p>
      <w:pPr>
        <w:jc w:val="center"/>
      </w:pPr>
      <w:r>
        <w:drawing>
          <wp:inline xmlns:a="http://schemas.openxmlformats.org/drawingml/2006/main" xmlns:pic="http://schemas.openxmlformats.org/drawingml/2006/picture">
            <wp:extent cx="5486400" cy="2429691"/>
            <wp:docPr id="27" name="Picture 27"/>
            <wp:cNvGraphicFramePr>
              <a:graphicFrameLocks noChangeAspect="1"/>
            </wp:cNvGraphicFramePr>
            <a:graphic>
              <a:graphicData uri="http://schemas.openxmlformats.org/drawingml/2006/picture">
                <pic:pic>
                  <pic:nvPicPr>
                    <pic:cNvPr id="0" name="chart_027.png"/>
                    <pic:cNvPicPr/>
                  </pic:nvPicPr>
                  <pic:blipFill>
                    <a:blip r:embed="rId35"/>
                    <a:stretch>
                      <a:fillRect/>
                    </a:stretch>
                  </pic:blipFill>
                  <pic:spPr>
                    <a:xfrm>
                      <a:off x="0" y="0"/>
                      <a:ext cx="5486400" cy="2429691"/>
                    </a:xfrm>
                    <a:prstGeom prst="rect"/>
                  </pic:spPr>
                </pic:pic>
              </a:graphicData>
            </a:graphic>
          </wp:inline>
        </w:drawing>
      </w:r>
    </w:p>
    <w:p>
      <w:pPr>
        <w:spacing w:before="40" w:after="160"/>
        <w:jc w:val="center"/>
      </w:pPr>
      <w:r>
        <w:rPr>
          <w:i/>
          <w:color w:val="6B7280"/>
          <w:sz w:val="18"/>
        </w:rPr>
        <w:t>Figure 7.9 — Bacteriological confirmation rate (PBC reg / new cases)</w:t>
      </w:r>
    </w:p>
    <w:p>
      <w:pPr>
        <w:pStyle w:val="Heading3"/>
      </w:pPr>
      <w:r>
        <w:t>7.4.7  Annual Treatment Success Rate</w:t>
      </w:r>
    </w:p>
    <w:p>
      <w:pPr>
        <w:jc w:val="center"/>
      </w:pPr>
      <w:r>
        <w:drawing>
          <wp:inline xmlns:a="http://schemas.openxmlformats.org/drawingml/2006/main" xmlns:pic="http://schemas.openxmlformats.org/drawingml/2006/picture">
            <wp:extent cx="4572000" cy="2024743"/>
            <wp:docPr id="28" name="Picture 28"/>
            <wp:cNvGraphicFramePr>
              <a:graphicFrameLocks noChangeAspect="1"/>
            </wp:cNvGraphicFramePr>
            <a:graphic>
              <a:graphicData uri="http://schemas.openxmlformats.org/drawingml/2006/picture">
                <pic:pic>
                  <pic:nvPicPr>
                    <pic:cNvPr id="0" name="chart_028.png"/>
                    <pic:cNvPicPr/>
                  </pic:nvPicPr>
                  <pic:blipFill>
                    <a:blip r:embed="rId36"/>
                    <a:stretch>
                      <a:fillRect/>
                    </a:stretch>
                  </pic:blipFill>
                  <pic:spPr>
                    <a:xfrm>
                      <a:off x="0" y="0"/>
                      <a:ext cx="4572000" cy="2024743"/>
                    </a:xfrm>
                    <a:prstGeom prst="rect"/>
                  </pic:spPr>
                </pic:pic>
              </a:graphicData>
            </a:graphic>
          </wp:inline>
        </w:drawing>
      </w:r>
    </w:p>
    <w:p>
      <w:pPr>
        <w:spacing w:before="40" w:after="160"/>
        <w:jc w:val="center"/>
      </w:pPr>
      <w:r>
        <w:rPr>
          <w:i/>
          <w:color w:val="6B7280"/>
          <w:sz w:val="18"/>
        </w:rPr>
        <w:t>Figure 7.10 — Annual TSR by BS year</w:t>
      </w:r>
    </w:p>
    <w:p>
      <w:pPr>
        <w:pStyle w:val="Heading3"/>
      </w:pPr>
      <w:r>
        <w:t>7.4.8  Outcome Rate Trends</w:t>
      </w:r>
    </w:p>
    <w:p>
      <w:pPr>
        <w:jc w:val="center"/>
      </w:pPr>
      <w:r>
        <w:drawing>
          <wp:inline xmlns:a="http://schemas.openxmlformats.org/drawingml/2006/main" xmlns:pic="http://schemas.openxmlformats.org/drawingml/2006/picture">
            <wp:extent cx="5486400" cy="2586445"/>
            <wp:docPr id="29" name="Picture 29"/>
            <wp:cNvGraphicFramePr>
              <a:graphicFrameLocks noChangeAspect="1"/>
            </wp:cNvGraphicFramePr>
            <a:graphic>
              <a:graphicData uri="http://schemas.openxmlformats.org/drawingml/2006/picture">
                <pic:pic>
                  <pic:nvPicPr>
                    <pic:cNvPr id="0" name="chart_029.png"/>
                    <pic:cNvPicPr/>
                  </pic:nvPicPr>
                  <pic:blipFill>
                    <a:blip r:embed="rId37"/>
                    <a:stretch>
                      <a:fillRect/>
                    </a:stretch>
                  </pic:blipFill>
                  <pic:spPr>
                    <a:xfrm>
                      <a:off x="0" y="0"/>
                      <a:ext cx="5486400" cy="2586445"/>
                    </a:xfrm>
                    <a:prstGeom prst="rect"/>
                  </pic:spPr>
                </pic:pic>
              </a:graphicData>
            </a:graphic>
          </wp:inline>
        </w:drawing>
      </w:r>
    </w:p>
    <w:p>
      <w:pPr>
        <w:spacing w:before="40" w:after="160"/>
        <w:jc w:val="center"/>
      </w:pPr>
      <w:r>
        <w:rPr>
          <w:i/>
          <w:color w:val="6B7280"/>
          <w:sz w:val="18"/>
        </w:rPr>
        <w:t>Figure 7.11 — All four outcome rates on one chart (TSR, mortality, LTFU, failure)</w:t>
      </w:r>
    </w:p>
    <w:p>
      <w:pPr>
        <w:pStyle w:val="Heading3"/>
      </w:pPr>
      <w:r>
        <w:t>7.4.9  Relapse Trend</w:t>
      </w:r>
    </w:p>
    <w:p>
      <w:pPr>
        <w:jc w:val="center"/>
      </w:pPr>
      <w:r>
        <w:drawing>
          <wp:inline xmlns:a="http://schemas.openxmlformats.org/drawingml/2006/main" xmlns:pic="http://schemas.openxmlformats.org/drawingml/2006/picture">
            <wp:extent cx="5486400" cy="2429691"/>
            <wp:docPr id="30" name="Picture 30"/>
            <wp:cNvGraphicFramePr>
              <a:graphicFrameLocks noChangeAspect="1"/>
            </wp:cNvGraphicFramePr>
            <a:graphic>
              <a:graphicData uri="http://schemas.openxmlformats.org/drawingml/2006/picture">
                <pic:pic>
                  <pic:nvPicPr>
                    <pic:cNvPr id="0" name="chart_030.png"/>
                    <pic:cNvPicPr/>
                  </pic:nvPicPr>
                  <pic:blipFill>
                    <a:blip r:embed="rId38"/>
                    <a:stretch>
                      <a:fillRect/>
                    </a:stretch>
                  </pic:blipFill>
                  <pic:spPr>
                    <a:xfrm>
                      <a:off x="0" y="0"/>
                      <a:ext cx="5486400" cy="2429691"/>
                    </a:xfrm>
                    <a:prstGeom prst="rect"/>
                  </pic:spPr>
                </pic:pic>
              </a:graphicData>
            </a:graphic>
          </wp:inline>
        </w:drawing>
      </w:r>
    </w:p>
    <w:p>
      <w:pPr>
        <w:spacing w:before="40" w:after="160"/>
        <w:jc w:val="center"/>
      </w:pPr>
      <w:r>
        <w:rPr>
          <w:i/>
          <w:color w:val="6B7280"/>
          <w:sz w:val="18"/>
        </w:rPr>
        <w:t>Figure 7.12 — Monthly relapse cases with 6-month rolling average (57 months)</w:t>
      </w:r>
    </w:p>
    <w:p>
      <w:pPr>
        <w:pStyle w:val="Heading3"/>
      </w:pPr>
      <w:r>
        <w:t>7.4.10  TB-HIV Co-infection</w:t>
      </w:r>
    </w:p>
    <w:p>
      <w:pPr>
        <w:spacing w:before="0" w:after="120"/>
        <w:jc w:val="left"/>
      </w:pPr>
      <w:r>
        <w:rPr>
          <w:rFonts w:ascii="Calibri" w:hAnsi="Calibri"/>
          <w:b w:val="0"/>
          <w:i w:val="0"/>
        </w:rPr>
        <w:t>HIV co-infection among TB patients shows a clear increasing trend from 22 cases in BS 2078 to 46 in BS 2082. The proportion remains low (mean 0.9%) but the upward trajectory warrants strengthened TB-HIV integration, including routine HIV testing for all TB patients and systematic co-treatment tracking.</w:t>
      </w:r>
    </w:p>
    <w:p>
      <w:pPr>
        <w:jc w:val="center"/>
      </w:pPr>
      <w:r>
        <w:drawing>
          <wp:inline xmlns:a="http://schemas.openxmlformats.org/drawingml/2006/main" xmlns:pic="http://schemas.openxmlformats.org/drawingml/2006/picture">
            <wp:extent cx="5486400" cy="2429691"/>
            <wp:docPr id="31" name="Picture 31"/>
            <wp:cNvGraphicFramePr>
              <a:graphicFrameLocks noChangeAspect="1"/>
            </wp:cNvGraphicFramePr>
            <a:graphic>
              <a:graphicData uri="http://schemas.openxmlformats.org/drawingml/2006/picture">
                <pic:pic>
                  <pic:nvPicPr>
                    <pic:cNvPr id="0" name="chart_031.png"/>
                    <pic:cNvPicPr/>
                  </pic:nvPicPr>
                  <pic:blipFill>
                    <a:blip r:embed="rId39"/>
                    <a:stretch>
                      <a:fillRect/>
                    </a:stretch>
                  </pic:blipFill>
                  <pic:spPr>
                    <a:xfrm>
                      <a:off x="0" y="0"/>
                      <a:ext cx="5486400" cy="2429691"/>
                    </a:xfrm>
                    <a:prstGeom prst="rect"/>
                  </pic:spPr>
                </pic:pic>
              </a:graphicData>
            </a:graphic>
          </wp:inline>
        </w:drawing>
      </w:r>
    </w:p>
    <w:p>
      <w:pPr>
        <w:spacing w:before="40" w:after="160"/>
        <w:jc w:val="center"/>
      </w:pPr>
      <w:r>
        <w:rPr>
          <w:i/>
          <w:color w:val="6B7280"/>
          <w:sz w:val="18"/>
        </w:rPr>
        <w:t>Figure 7.13 — Monthly TB-HIV co-infection cases and 6-month rolling average</w:t>
      </w:r>
    </w:p>
    <w:p>
      <w:pPr>
        <w:pStyle w:val="Heading3"/>
      </w:pPr>
      <w:r>
        <w:t>7.4.11  Male-to-Female Ratio</w:t>
      </w:r>
    </w:p>
    <w:p>
      <w:pPr>
        <w:jc w:val="center"/>
      </w:pPr>
      <w:r>
        <w:drawing>
          <wp:inline xmlns:a="http://schemas.openxmlformats.org/drawingml/2006/main" xmlns:pic="http://schemas.openxmlformats.org/drawingml/2006/picture">
            <wp:extent cx="5486400" cy="2429691"/>
            <wp:docPr id="32" name="Picture 32"/>
            <wp:cNvGraphicFramePr>
              <a:graphicFrameLocks noChangeAspect="1"/>
            </wp:cNvGraphicFramePr>
            <a:graphic>
              <a:graphicData uri="http://schemas.openxmlformats.org/drawingml/2006/picture">
                <pic:pic>
                  <pic:nvPicPr>
                    <pic:cNvPr id="0" name="chart_032.png"/>
                    <pic:cNvPicPr/>
                  </pic:nvPicPr>
                  <pic:blipFill>
                    <a:blip r:embed="rId40"/>
                    <a:stretch>
                      <a:fillRect/>
                    </a:stretch>
                  </pic:blipFill>
                  <pic:spPr>
                    <a:xfrm>
                      <a:off x="0" y="0"/>
                      <a:ext cx="5486400" cy="2429691"/>
                    </a:xfrm>
                    <a:prstGeom prst="rect"/>
                  </pic:spPr>
                </pic:pic>
              </a:graphicData>
            </a:graphic>
          </wp:inline>
        </w:drawing>
      </w:r>
    </w:p>
    <w:p>
      <w:pPr>
        <w:spacing w:before="40" w:after="160"/>
        <w:jc w:val="center"/>
      </w:pPr>
      <w:r>
        <w:rPr>
          <w:i/>
          <w:color w:val="6B7280"/>
          <w:sz w:val="18"/>
        </w:rPr>
        <w:t>Figure 7.14 — M:F notification ratio monthly (dashed = parity, dotted = mean 1.19)</w:t>
      </w:r>
    </w:p>
    <w:p>
      <w:pPr>
        <w:pStyle w:val="Heading3"/>
      </w:pPr>
      <w:r>
        <w:t>7.4.12  Notification Rate vs. TSR Correlation</w:t>
      </w:r>
    </w:p>
    <w:p>
      <w:pPr>
        <w:spacing w:before="0" w:after="120"/>
        <w:jc w:val="left"/>
      </w:pPr>
      <w:r>
        <w:rPr>
          <w:rFonts w:ascii="Calibri" w:hAnsi="Calibri"/>
          <w:b w:val="0"/>
          <w:i w:val="0"/>
        </w:rPr>
        <w:t>The scatter plot below examines whether months with higher notification rates correlate with higher or lower TSR — a potential proxy for programme stress under high case load. No strong correlation is apparent, suggesting that Kathmandu's NTP can maintain treatment quality even in high-burden months.</w:t>
      </w:r>
    </w:p>
    <w:p>
      <w:pPr>
        <w:jc w:val="center"/>
      </w:pPr>
      <w:r>
        <w:drawing>
          <wp:inline xmlns:a="http://schemas.openxmlformats.org/drawingml/2006/main" xmlns:pic="http://schemas.openxmlformats.org/drawingml/2006/picture">
            <wp:extent cx="5486400" cy="2586445"/>
            <wp:docPr id="33" name="Picture 33"/>
            <wp:cNvGraphicFramePr>
              <a:graphicFrameLocks noChangeAspect="1"/>
            </wp:cNvGraphicFramePr>
            <a:graphic>
              <a:graphicData uri="http://schemas.openxmlformats.org/drawingml/2006/picture">
                <pic:pic>
                  <pic:nvPicPr>
                    <pic:cNvPr id="0" name="chart_033.png"/>
                    <pic:cNvPicPr/>
                  </pic:nvPicPr>
                  <pic:blipFill>
                    <a:blip r:embed="rId41"/>
                    <a:stretch>
                      <a:fillRect/>
                    </a:stretch>
                  </pic:blipFill>
                  <pic:spPr>
                    <a:xfrm>
                      <a:off x="0" y="0"/>
                      <a:ext cx="5486400" cy="2586445"/>
                    </a:xfrm>
                    <a:prstGeom prst="rect"/>
                  </pic:spPr>
                </pic:pic>
              </a:graphicData>
            </a:graphic>
          </wp:inline>
        </w:drawing>
      </w:r>
    </w:p>
    <w:p>
      <w:pPr>
        <w:spacing w:before="40" w:after="160"/>
        <w:jc w:val="center"/>
      </w:pPr>
      <w:r>
        <w:rPr>
          <w:i/>
          <w:color w:val="6B7280"/>
          <w:sz w:val="18"/>
        </w:rPr>
        <w:t>Figure 7.15 — Notification rate vs. TSR scatter (57 months, coloured by year)</w:t>
      </w:r>
    </w:p>
    <w:p>
      <w:r>
        <w:br w:type="page"/>
      </w:r>
    </w:p>
    <w:p>
      <w:pPr>
        <w:pStyle w:val="Heading1"/>
      </w:pPr>
      <w:r>
        <w:t>Summary — Deliverables, Findings &amp; Recommendations</w:t>
      </w:r>
    </w:p>
    <w:p>
      <w:pPr>
        <w:pStyle w:val="Heading2"/>
      </w:pPr>
      <w:r>
        <w:t>Phase Deliverables Matrix</w:t>
      </w:r>
    </w:p>
    <w:p>
      <w:pPr>
        <w:spacing w:before="160" w:after="40"/>
      </w:pPr>
      <w:r>
        <w:rPr>
          <w:i/>
          <w:color w:val="6B7280"/>
          <w:sz w:val="18"/>
        </w:rPr>
        <w:t>Table S.1 — Phase Deliverables Status</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701"/>
            <w:shd w:val="clear" w:color="auto" w:fill="1c3761"/>
          </w:tcPr>
          <w:p>
            <w:pPr>
              <w:jc w:val="center"/>
            </w:pPr>
            <w:r>
              <w:rPr>
                <w:rFonts w:ascii="Calibri" w:hAnsi="Calibri"/>
                <w:b/>
                <w:color w:val="FFFFFF"/>
                <w:sz w:val="19"/>
              </w:rPr>
              <w:t>Phase</w:t>
            </w:r>
          </w:p>
        </w:tc>
        <w:tc>
          <w:tcPr>
            <w:tcW w:type="dxa" w:w="3118"/>
            <w:shd w:val="clear" w:color="auto" w:fill="1c3761"/>
          </w:tcPr>
          <w:p>
            <w:pPr>
              <w:jc w:val="center"/>
            </w:pPr>
            <w:r>
              <w:rPr>
                <w:rFonts w:ascii="Calibri" w:hAnsi="Calibri"/>
                <w:b/>
                <w:color w:val="FFFFFF"/>
                <w:sz w:val="19"/>
              </w:rPr>
              <w:t>Primary Deliverable</w:t>
            </w:r>
          </w:p>
        </w:tc>
        <w:tc>
          <w:tcPr>
            <w:tcW w:type="dxa" w:w="1134"/>
            <w:shd w:val="clear" w:color="auto" w:fill="1c3761"/>
          </w:tcPr>
          <w:p>
            <w:pPr>
              <w:jc w:val="center"/>
            </w:pPr>
            <w:r>
              <w:rPr>
                <w:rFonts w:ascii="Calibri" w:hAnsi="Calibri"/>
                <w:b/>
                <w:color w:val="FFFFFF"/>
                <w:sz w:val="19"/>
              </w:rPr>
              <w:t>Format</w:t>
            </w:r>
          </w:p>
        </w:tc>
        <w:tc>
          <w:tcPr>
            <w:tcW w:type="dxa" w:w="1701"/>
            <w:shd w:val="clear" w:color="auto" w:fill="1c3761"/>
          </w:tcPr>
          <w:p>
            <w:pPr>
              <w:jc w:val="center"/>
            </w:pPr>
            <w:r>
              <w:rPr>
                <w:rFonts w:ascii="Calibri" w:hAnsi="Calibri"/>
                <w:b/>
                <w:color w:val="FFFFFF"/>
                <w:sz w:val="19"/>
              </w:rPr>
              <w:t>Files</w:t>
            </w:r>
          </w:p>
        </w:tc>
        <w:tc>
          <w:tcPr>
            <w:tcW w:type="dxa" w:w="1134"/>
            <w:shd w:val="clear" w:color="auto" w:fill="1c3761"/>
          </w:tcPr>
          <w:p>
            <w:pPr>
              <w:jc w:val="center"/>
            </w:pPr>
            <w:r>
              <w:rPr>
                <w:rFonts w:ascii="Calibri" w:hAnsi="Calibri"/>
                <w:b/>
                <w:color w:val="FFFFFF"/>
                <w:sz w:val="19"/>
              </w:rPr>
              <w:t>Status</w:t>
            </w:r>
          </w:p>
        </w:tc>
      </w:tr>
      <w:tr>
        <w:tc>
          <w:tcPr>
            <w:tcW w:type="dxa" w:w="1701"/>
            <w:shd w:val="clear" w:color="auto" w:fill="ffffff"/>
          </w:tcPr>
          <w:p>
            <w:r>
              <w:rPr>
                <w:rFonts w:ascii="Calibri" w:hAnsi="Calibri"/>
                <w:sz w:val="19"/>
              </w:rPr>
              <w:t>1 — Ingestion</w:t>
            </w:r>
          </w:p>
        </w:tc>
        <w:tc>
          <w:tcPr>
            <w:tcW w:type="dxa" w:w="3118"/>
            <w:shd w:val="clear" w:color="auto" w:fill="ffffff"/>
          </w:tcPr>
          <w:p>
            <w:r>
              <w:rPr>
                <w:rFonts w:ascii="Calibri" w:hAnsi="Calibri"/>
                <w:sz w:val="19"/>
              </w:rPr>
              <w:t>Data Inspection + Dictionary + QA Reports</w:t>
            </w:r>
          </w:p>
        </w:tc>
        <w:tc>
          <w:tcPr>
            <w:tcW w:type="dxa" w:w="1134"/>
            <w:shd w:val="clear" w:color="auto" w:fill="ffffff"/>
          </w:tcPr>
          <w:p>
            <w:r>
              <w:rPr>
                <w:rFonts w:ascii="Calibri" w:hAnsi="Calibri"/>
                <w:sz w:val="19"/>
              </w:rPr>
              <w:t>Markdown</w:t>
            </w:r>
          </w:p>
        </w:tc>
        <w:tc>
          <w:tcPr>
            <w:tcW w:type="dxa" w:w="1701"/>
            <w:shd w:val="clear" w:color="auto" w:fill="ffffff"/>
          </w:tcPr>
          <w:p>
            <w:r>
              <w:rPr>
                <w:rFonts w:ascii="Calibri" w:hAnsi="Calibri"/>
                <w:sz w:val="19"/>
              </w:rPr>
              <w:t>3 reports</w:t>
            </w:r>
          </w:p>
        </w:tc>
        <w:tc>
          <w:tcPr>
            <w:tcW w:type="dxa" w:w="1134"/>
            <w:shd w:val="clear" w:color="auto" w:fill="ffffff"/>
          </w:tcPr>
          <w:p>
            <w:r>
              <w:rPr>
                <w:rFonts w:ascii="Calibri" w:hAnsi="Calibri"/>
                <w:sz w:val="19"/>
              </w:rPr>
              <w:t>✅ Complete</w:t>
            </w:r>
          </w:p>
        </w:tc>
      </w:tr>
      <w:tr>
        <w:tc>
          <w:tcPr>
            <w:tcW w:type="dxa" w:w="1701"/>
            <w:shd w:val="clear" w:color="auto" w:fill="f9fafb"/>
          </w:tcPr>
          <w:p>
            <w:r>
              <w:rPr>
                <w:rFonts w:ascii="Calibri" w:hAnsi="Calibri"/>
                <w:sz w:val="19"/>
              </w:rPr>
              <w:t>2 — Cleaning</w:t>
            </w:r>
          </w:p>
        </w:tc>
        <w:tc>
          <w:tcPr>
            <w:tcW w:type="dxa" w:w="3118"/>
            <w:shd w:val="clear" w:color="auto" w:fill="f9fafb"/>
          </w:tcPr>
          <w:p>
            <w:r>
              <w:rPr>
                <w:rFonts w:ascii="Calibri" w:hAnsi="Calibri"/>
                <w:sz w:val="19"/>
              </w:rPr>
              <w:t>Cleaned CSV + Audit Log</w:t>
            </w:r>
          </w:p>
        </w:tc>
        <w:tc>
          <w:tcPr>
            <w:tcW w:type="dxa" w:w="1134"/>
            <w:shd w:val="clear" w:color="auto" w:fill="f9fafb"/>
          </w:tcPr>
          <w:p>
            <w:r>
              <w:rPr>
                <w:rFonts w:ascii="Calibri" w:hAnsi="Calibri"/>
                <w:sz w:val="19"/>
              </w:rPr>
              <w:t>CSV</w:t>
            </w:r>
          </w:p>
        </w:tc>
        <w:tc>
          <w:tcPr>
            <w:tcW w:type="dxa" w:w="1701"/>
            <w:shd w:val="clear" w:color="auto" w:fill="f9fafb"/>
          </w:tcPr>
          <w:p>
            <w:r>
              <w:rPr>
                <w:rFonts w:ascii="Calibri" w:hAnsi="Calibri"/>
                <w:sz w:val="19"/>
              </w:rPr>
              <w:t>2 files</w:t>
            </w:r>
          </w:p>
        </w:tc>
        <w:tc>
          <w:tcPr>
            <w:tcW w:type="dxa" w:w="1134"/>
            <w:shd w:val="clear" w:color="auto" w:fill="f9fafb"/>
          </w:tcPr>
          <w:p>
            <w:r>
              <w:rPr>
                <w:rFonts w:ascii="Calibri" w:hAnsi="Calibri"/>
                <w:sz w:val="19"/>
              </w:rPr>
              <w:t>✅ Complete</w:t>
            </w:r>
          </w:p>
        </w:tc>
      </w:tr>
      <w:tr>
        <w:tc>
          <w:tcPr>
            <w:tcW w:type="dxa" w:w="1701"/>
            <w:shd w:val="clear" w:color="auto" w:fill="ffffff"/>
          </w:tcPr>
          <w:p>
            <w:r>
              <w:rPr>
                <w:rFonts w:ascii="Calibri" w:hAnsi="Calibri"/>
                <w:sz w:val="19"/>
              </w:rPr>
              <w:t>3 — Indicators</w:t>
            </w:r>
          </w:p>
        </w:tc>
        <w:tc>
          <w:tcPr>
            <w:tcW w:type="dxa" w:w="3118"/>
            <w:shd w:val="clear" w:color="auto" w:fill="ffffff"/>
          </w:tcPr>
          <w:p>
            <w:r>
              <w:rPr>
                <w:rFonts w:ascii="Calibri" w:hAnsi="Calibri"/>
                <w:sz w:val="19"/>
              </w:rPr>
              <w:t>Harmonized CSV + DHIS2-FHIR Mapping Table</w:t>
            </w:r>
          </w:p>
        </w:tc>
        <w:tc>
          <w:tcPr>
            <w:tcW w:type="dxa" w:w="1134"/>
            <w:shd w:val="clear" w:color="auto" w:fill="ffffff"/>
          </w:tcPr>
          <w:p>
            <w:r>
              <w:rPr>
                <w:rFonts w:ascii="Calibri" w:hAnsi="Calibri"/>
                <w:sz w:val="19"/>
              </w:rPr>
              <w:t>CSV</w:t>
            </w:r>
          </w:p>
        </w:tc>
        <w:tc>
          <w:tcPr>
            <w:tcW w:type="dxa" w:w="1701"/>
            <w:shd w:val="clear" w:color="auto" w:fill="ffffff"/>
          </w:tcPr>
          <w:p>
            <w:r>
              <w:rPr>
                <w:rFonts w:ascii="Calibri" w:hAnsi="Calibri"/>
                <w:sz w:val="19"/>
              </w:rPr>
              <w:t>2 files</w:t>
            </w:r>
          </w:p>
        </w:tc>
        <w:tc>
          <w:tcPr>
            <w:tcW w:type="dxa" w:w="1134"/>
            <w:shd w:val="clear" w:color="auto" w:fill="ffffff"/>
          </w:tcPr>
          <w:p>
            <w:r>
              <w:rPr>
                <w:rFonts w:ascii="Calibri" w:hAnsi="Calibri"/>
                <w:sz w:val="19"/>
              </w:rPr>
              <w:t>✅ Complete</w:t>
            </w:r>
          </w:p>
        </w:tc>
      </w:tr>
      <w:tr>
        <w:tc>
          <w:tcPr>
            <w:tcW w:type="dxa" w:w="1701"/>
            <w:shd w:val="clear" w:color="auto" w:fill="f9fafb"/>
          </w:tcPr>
          <w:p>
            <w:r>
              <w:rPr>
                <w:rFonts w:ascii="Calibri" w:hAnsi="Calibri"/>
                <w:sz w:val="19"/>
              </w:rPr>
              <w:t>4 — FHIR</w:t>
            </w:r>
          </w:p>
        </w:tc>
        <w:tc>
          <w:tcPr>
            <w:tcW w:type="dxa" w:w="3118"/>
            <w:shd w:val="clear" w:color="auto" w:fill="f9fafb"/>
          </w:tcPr>
          <w:p>
            <w:r>
              <w:rPr>
                <w:rFonts w:ascii="Calibri" w:hAnsi="Calibri"/>
                <w:sz w:val="19"/>
              </w:rPr>
              <w:t>1,920 MR + 32 Measure + 33 Bundles</w:t>
            </w:r>
          </w:p>
        </w:tc>
        <w:tc>
          <w:tcPr>
            <w:tcW w:type="dxa" w:w="1134"/>
            <w:shd w:val="clear" w:color="auto" w:fill="f9fafb"/>
          </w:tcPr>
          <w:p>
            <w:r>
              <w:rPr>
                <w:rFonts w:ascii="Calibri" w:hAnsi="Calibri"/>
                <w:sz w:val="19"/>
              </w:rPr>
              <w:t>JSON</w:t>
            </w:r>
          </w:p>
        </w:tc>
        <w:tc>
          <w:tcPr>
            <w:tcW w:type="dxa" w:w="1701"/>
            <w:shd w:val="clear" w:color="auto" w:fill="f9fafb"/>
          </w:tcPr>
          <w:p>
            <w:r>
              <w:rPr>
                <w:rFonts w:ascii="Calibri" w:hAnsi="Calibri"/>
                <w:sz w:val="19"/>
              </w:rPr>
              <w:t>1,985 files</w:t>
            </w:r>
          </w:p>
        </w:tc>
        <w:tc>
          <w:tcPr>
            <w:tcW w:type="dxa" w:w="1134"/>
            <w:shd w:val="clear" w:color="auto" w:fill="f9fafb"/>
          </w:tcPr>
          <w:p>
            <w:r>
              <w:rPr>
                <w:rFonts w:ascii="Calibri" w:hAnsi="Calibri"/>
                <w:sz w:val="19"/>
              </w:rPr>
              <w:t>✅ Complete</w:t>
            </w:r>
          </w:p>
        </w:tc>
      </w:tr>
      <w:tr>
        <w:tc>
          <w:tcPr>
            <w:tcW w:type="dxa" w:w="1701"/>
            <w:shd w:val="clear" w:color="auto" w:fill="ffffff"/>
          </w:tcPr>
          <w:p>
            <w:r>
              <w:rPr>
                <w:rFonts w:ascii="Calibri" w:hAnsi="Calibri"/>
                <w:sz w:val="19"/>
              </w:rPr>
              <w:t>5 — IG</w:t>
            </w:r>
          </w:p>
        </w:tc>
        <w:tc>
          <w:tcPr>
            <w:tcW w:type="dxa" w:w="3118"/>
            <w:shd w:val="clear" w:color="auto" w:fill="ffffff"/>
          </w:tcPr>
          <w:p>
            <w:r>
              <w:rPr>
                <w:rFonts w:ascii="Calibri" w:hAnsi="Calibri"/>
                <w:sz w:val="19"/>
              </w:rPr>
              <w:t>IG v1.0.0 STU1 + GitHub Pages</w:t>
            </w:r>
          </w:p>
        </w:tc>
        <w:tc>
          <w:tcPr>
            <w:tcW w:type="dxa" w:w="1134"/>
            <w:shd w:val="clear" w:color="auto" w:fill="ffffff"/>
          </w:tcPr>
          <w:p>
            <w:r>
              <w:rPr>
                <w:rFonts w:ascii="Calibri" w:hAnsi="Calibri"/>
                <w:sz w:val="19"/>
              </w:rPr>
              <w:t>FHIR IG</w:t>
            </w:r>
          </w:p>
        </w:tc>
        <w:tc>
          <w:tcPr>
            <w:tcW w:type="dxa" w:w="1701"/>
            <w:shd w:val="clear" w:color="auto" w:fill="ffffff"/>
          </w:tcPr>
          <w:p>
            <w:r>
              <w:rPr>
                <w:rFonts w:ascii="Calibri" w:hAnsi="Calibri"/>
                <w:sz w:val="19"/>
              </w:rPr>
              <w:t>6 FSH + CI/CD</w:t>
            </w:r>
          </w:p>
        </w:tc>
        <w:tc>
          <w:tcPr>
            <w:tcW w:type="dxa" w:w="1134"/>
            <w:shd w:val="clear" w:color="auto" w:fill="ffffff"/>
          </w:tcPr>
          <w:p>
            <w:r>
              <w:rPr>
                <w:rFonts w:ascii="Calibri" w:hAnsi="Calibri"/>
                <w:sz w:val="19"/>
              </w:rPr>
              <w:t>✅ Complete</w:t>
            </w:r>
          </w:p>
        </w:tc>
      </w:tr>
      <w:tr>
        <w:tc>
          <w:tcPr>
            <w:tcW w:type="dxa" w:w="1701"/>
            <w:shd w:val="clear" w:color="auto" w:fill="f9fafb"/>
          </w:tcPr>
          <w:p>
            <w:r>
              <w:rPr>
                <w:rFonts w:ascii="Calibri" w:hAnsi="Calibri"/>
                <w:sz w:val="19"/>
              </w:rPr>
              <w:t>6 — Gap Analysis</w:t>
            </w:r>
          </w:p>
        </w:tc>
        <w:tc>
          <w:tcPr>
            <w:tcW w:type="dxa" w:w="3118"/>
            <w:shd w:val="clear" w:color="auto" w:fill="f9fafb"/>
          </w:tcPr>
          <w:p>
            <w:r>
              <w:rPr>
                <w:rFonts w:ascii="Calibri" w:hAnsi="Calibri"/>
                <w:sz w:val="19"/>
              </w:rPr>
              <w:t>Outlier + Sensitivity + Gap Reports</w:t>
            </w:r>
          </w:p>
        </w:tc>
        <w:tc>
          <w:tcPr>
            <w:tcW w:type="dxa" w:w="1134"/>
            <w:shd w:val="clear" w:color="auto" w:fill="f9fafb"/>
          </w:tcPr>
          <w:p>
            <w:r>
              <w:rPr>
                <w:rFonts w:ascii="Calibri" w:hAnsi="Calibri"/>
                <w:sz w:val="19"/>
              </w:rPr>
              <w:t>TXT</w:t>
            </w:r>
          </w:p>
        </w:tc>
        <w:tc>
          <w:tcPr>
            <w:tcW w:type="dxa" w:w="1701"/>
            <w:shd w:val="clear" w:color="auto" w:fill="f9fafb"/>
          </w:tcPr>
          <w:p>
            <w:r>
              <w:rPr>
                <w:rFonts w:ascii="Calibri" w:hAnsi="Calibri"/>
                <w:sz w:val="19"/>
              </w:rPr>
              <w:t>3 reports</w:t>
            </w:r>
          </w:p>
        </w:tc>
        <w:tc>
          <w:tcPr>
            <w:tcW w:type="dxa" w:w="1134"/>
            <w:shd w:val="clear" w:color="auto" w:fill="f9fafb"/>
          </w:tcPr>
          <w:p>
            <w:r>
              <w:rPr>
                <w:rFonts w:ascii="Calibri" w:hAnsi="Calibri"/>
                <w:sz w:val="19"/>
              </w:rPr>
              <w:t>✅ Complete</w:t>
            </w:r>
          </w:p>
        </w:tc>
      </w:tr>
      <w:tr>
        <w:tc>
          <w:tcPr>
            <w:tcW w:type="dxa" w:w="1701"/>
            <w:shd w:val="clear" w:color="auto" w:fill="ffffff"/>
          </w:tcPr>
          <w:p>
            <w:r>
              <w:rPr>
                <w:rFonts w:ascii="Calibri" w:hAnsi="Calibri"/>
                <w:sz w:val="19"/>
              </w:rPr>
              <w:t>7 — Dashboard</w:t>
            </w:r>
          </w:p>
        </w:tc>
        <w:tc>
          <w:tcPr>
            <w:tcW w:type="dxa" w:w="3118"/>
            <w:shd w:val="clear" w:color="auto" w:fill="ffffff"/>
          </w:tcPr>
          <w:p>
            <w:r>
              <w:rPr>
                <w:rFonts w:ascii="Calibri" w:hAnsi="Calibri"/>
                <w:sz w:val="19"/>
              </w:rPr>
              <w:t>Streamlit App + FastAPI FHIR Server</w:t>
            </w:r>
          </w:p>
        </w:tc>
        <w:tc>
          <w:tcPr>
            <w:tcW w:type="dxa" w:w="1134"/>
            <w:shd w:val="clear" w:color="auto" w:fill="ffffff"/>
          </w:tcPr>
          <w:p>
            <w:r>
              <w:rPr>
                <w:rFonts w:ascii="Calibri" w:hAnsi="Calibri"/>
                <w:sz w:val="19"/>
              </w:rPr>
              <w:t>Python</w:t>
            </w:r>
          </w:p>
        </w:tc>
        <w:tc>
          <w:tcPr>
            <w:tcW w:type="dxa" w:w="1701"/>
            <w:shd w:val="clear" w:color="auto" w:fill="ffffff"/>
          </w:tcPr>
          <w:p>
            <w:r>
              <w:rPr>
                <w:rFonts w:ascii="Calibri" w:hAnsi="Calibri"/>
                <w:sz w:val="19"/>
              </w:rPr>
              <w:t>2 scripts</w:t>
            </w:r>
          </w:p>
        </w:tc>
        <w:tc>
          <w:tcPr>
            <w:tcW w:type="dxa" w:w="1134"/>
            <w:shd w:val="clear" w:color="auto" w:fill="ffffff"/>
          </w:tcPr>
          <w:p>
            <w:r>
              <w:rPr>
                <w:rFonts w:ascii="Calibri" w:hAnsi="Calibri"/>
                <w:sz w:val="19"/>
              </w:rPr>
              <w:t>✅ Complete</w:t>
            </w:r>
          </w:p>
        </w:tc>
      </w:tr>
    </w:tbl>
    <w:p/>
    <w:p>
      <w:pPr>
        <w:pStyle w:val="Heading2"/>
      </w:pPr>
      <w:r>
        <w:t>Five-Year Epidemiological Summary</w:t>
      </w:r>
    </w:p>
    <w:p>
      <w:pPr>
        <w:spacing w:before="160" w:after="40"/>
      </w:pPr>
      <w:r>
        <w:rPr>
          <w:i/>
          <w:color w:val="6B7280"/>
          <w:sz w:val="18"/>
        </w:rPr>
        <w:t>Table S.2 — Five-Year Epidemiological Summary</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417"/>
            <w:shd w:val="clear" w:color="auto" w:fill="1c3761"/>
          </w:tcPr>
          <w:p>
            <w:pPr>
              <w:jc w:val="center"/>
            </w:pPr>
            <w:r>
              <w:rPr>
                <w:rFonts w:ascii="Calibri" w:hAnsi="Calibri"/>
                <w:b/>
                <w:color w:val="FFFFFF"/>
                <w:sz w:val="19"/>
              </w:rPr>
              <w:t>BS Year</w:t>
            </w:r>
          </w:p>
        </w:tc>
        <w:tc>
          <w:tcPr>
            <w:tcW w:type="dxa" w:w="1247"/>
            <w:shd w:val="clear" w:color="auto" w:fill="1c3761"/>
          </w:tcPr>
          <w:p>
            <w:pPr>
              <w:jc w:val="center"/>
            </w:pPr>
            <w:r>
              <w:rPr>
                <w:rFonts w:ascii="Calibri" w:hAnsi="Calibri"/>
                <w:b/>
                <w:color w:val="FFFFFF"/>
                <w:sz w:val="19"/>
              </w:rPr>
              <w:t>New Cases</w:t>
            </w:r>
          </w:p>
        </w:tc>
        <w:tc>
          <w:tcPr>
            <w:tcW w:type="dxa" w:w="1247"/>
            <w:shd w:val="clear" w:color="auto" w:fill="1c3761"/>
          </w:tcPr>
          <w:p>
            <w:pPr>
              <w:jc w:val="center"/>
            </w:pPr>
            <w:r>
              <w:rPr>
                <w:rFonts w:ascii="Calibri" w:hAnsi="Calibri"/>
                <w:b/>
                <w:color w:val="FFFFFF"/>
                <w:sz w:val="19"/>
              </w:rPr>
              <w:t>Avg/Month</w:t>
            </w:r>
          </w:p>
        </w:tc>
        <w:tc>
          <w:tcPr>
            <w:tcW w:type="dxa" w:w="1247"/>
            <w:shd w:val="clear" w:color="auto" w:fill="1c3761"/>
          </w:tcPr>
          <w:p>
            <w:pPr>
              <w:jc w:val="center"/>
            </w:pPr>
            <w:r>
              <w:rPr>
                <w:rFonts w:ascii="Calibri" w:hAnsi="Calibri"/>
                <w:b/>
                <w:color w:val="FFFFFF"/>
                <w:sz w:val="19"/>
              </w:rPr>
              <w:t>Rate/100k</w:t>
            </w:r>
          </w:p>
        </w:tc>
        <w:tc>
          <w:tcPr>
            <w:tcW w:type="dxa" w:w="1020"/>
            <w:shd w:val="clear" w:color="auto" w:fill="1c3761"/>
          </w:tcPr>
          <w:p>
            <w:pPr>
              <w:jc w:val="center"/>
            </w:pPr>
            <w:r>
              <w:rPr>
                <w:rFonts w:ascii="Calibri" w:hAnsi="Calibri"/>
                <w:b/>
                <w:color w:val="FFFFFF"/>
                <w:sz w:val="19"/>
              </w:rPr>
              <w:t>TSR</w:t>
            </w:r>
          </w:p>
        </w:tc>
        <w:tc>
          <w:tcPr>
            <w:tcW w:type="dxa" w:w="1134"/>
            <w:shd w:val="clear" w:color="auto" w:fill="1c3761"/>
          </w:tcPr>
          <w:p>
            <w:pPr>
              <w:jc w:val="center"/>
            </w:pPr>
            <w:r>
              <w:rPr>
                <w:rFonts w:ascii="Calibri" w:hAnsi="Calibri"/>
                <w:b/>
                <w:color w:val="FFFFFF"/>
                <w:sz w:val="19"/>
              </w:rPr>
              <w:t>Mortality</w:t>
            </w:r>
          </w:p>
        </w:tc>
        <w:tc>
          <w:tcPr>
            <w:tcW w:type="dxa" w:w="1020"/>
            <w:shd w:val="clear" w:color="auto" w:fill="1c3761"/>
          </w:tcPr>
          <w:p>
            <w:pPr>
              <w:jc w:val="center"/>
            </w:pPr>
            <w:r>
              <w:rPr>
                <w:rFonts w:ascii="Calibri" w:hAnsi="Calibri"/>
                <w:b/>
                <w:color w:val="FFFFFF"/>
                <w:sz w:val="19"/>
              </w:rPr>
              <w:t>LTFU</w:t>
            </w:r>
          </w:p>
        </w:tc>
        <w:tc>
          <w:tcPr>
            <w:tcW w:type="dxa" w:w="1020"/>
            <w:shd w:val="clear" w:color="auto" w:fill="1c3761"/>
          </w:tcPr>
          <w:p>
            <w:pPr>
              <w:jc w:val="center"/>
            </w:pPr>
            <w:r>
              <w:rPr>
                <w:rFonts w:ascii="Calibri" w:hAnsi="Calibri"/>
                <w:b/>
                <w:color w:val="FFFFFF"/>
                <w:sz w:val="19"/>
              </w:rPr>
              <w:t>HIV+</w:t>
            </w:r>
          </w:p>
        </w:tc>
      </w:tr>
      <w:tr>
        <w:tc>
          <w:tcPr>
            <w:tcW w:type="dxa" w:w="1417"/>
            <w:shd w:val="clear" w:color="auto" w:fill="ffffff"/>
          </w:tcPr>
          <w:p>
            <w:r>
              <w:rPr>
                <w:rFonts w:ascii="Calibri" w:hAnsi="Calibri"/>
                <w:sz w:val="19"/>
              </w:rPr>
              <w:t>2078</w:t>
            </w:r>
          </w:p>
        </w:tc>
        <w:tc>
          <w:tcPr>
            <w:tcW w:type="dxa" w:w="1247"/>
            <w:shd w:val="clear" w:color="auto" w:fill="ffffff"/>
          </w:tcPr>
          <w:p>
            <w:r>
              <w:rPr>
                <w:rFonts w:ascii="Calibri" w:hAnsi="Calibri"/>
                <w:sz w:val="19"/>
              </w:rPr>
              <w:t>3,169</w:t>
            </w:r>
          </w:p>
        </w:tc>
        <w:tc>
          <w:tcPr>
            <w:tcW w:type="dxa" w:w="1247"/>
            <w:shd w:val="clear" w:color="auto" w:fill="ffffff"/>
          </w:tcPr>
          <w:p>
            <w:r>
              <w:rPr>
                <w:rFonts w:ascii="Calibri" w:hAnsi="Calibri"/>
                <w:sz w:val="19"/>
              </w:rPr>
              <w:t>264.1</w:t>
            </w:r>
          </w:p>
        </w:tc>
        <w:tc>
          <w:tcPr>
            <w:tcW w:type="dxa" w:w="1247"/>
            <w:shd w:val="clear" w:color="auto" w:fill="ffffff"/>
          </w:tcPr>
          <w:p>
            <w:r>
              <w:rPr>
                <w:rFonts w:ascii="Calibri" w:hAnsi="Calibri"/>
                <w:sz w:val="19"/>
              </w:rPr>
              <w:t>154.6</w:t>
            </w:r>
          </w:p>
        </w:tc>
        <w:tc>
          <w:tcPr>
            <w:tcW w:type="dxa" w:w="1020"/>
            <w:shd w:val="clear" w:color="auto" w:fill="ffffff"/>
          </w:tcPr>
          <w:p>
            <w:r>
              <w:rPr>
                <w:rFonts w:ascii="Calibri" w:hAnsi="Calibri"/>
                <w:sz w:val="19"/>
              </w:rPr>
              <w:t>80.9%</w:t>
            </w:r>
          </w:p>
        </w:tc>
        <w:tc>
          <w:tcPr>
            <w:tcW w:type="dxa" w:w="1134"/>
            <w:shd w:val="clear" w:color="auto" w:fill="ffffff"/>
          </w:tcPr>
          <w:p>
            <w:r>
              <w:rPr>
                <w:rFonts w:ascii="Calibri" w:hAnsi="Calibri"/>
                <w:sz w:val="19"/>
              </w:rPr>
              <w:t>2.4%</w:t>
            </w:r>
          </w:p>
        </w:tc>
        <w:tc>
          <w:tcPr>
            <w:tcW w:type="dxa" w:w="1020"/>
            <w:shd w:val="clear" w:color="auto" w:fill="ffffff"/>
          </w:tcPr>
          <w:p>
            <w:r>
              <w:rPr>
                <w:rFonts w:ascii="Calibri" w:hAnsi="Calibri"/>
                <w:sz w:val="19"/>
              </w:rPr>
              <w:t>1.7%</w:t>
            </w:r>
          </w:p>
        </w:tc>
        <w:tc>
          <w:tcPr>
            <w:tcW w:type="dxa" w:w="1020"/>
            <w:shd w:val="clear" w:color="auto" w:fill="ffffff"/>
          </w:tcPr>
          <w:p>
            <w:r>
              <w:rPr>
                <w:rFonts w:ascii="Calibri" w:hAnsi="Calibri"/>
                <w:sz w:val="19"/>
              </w:rPr>
              <w:t>22</w:t>
            </w:r>
          </w:p>
        </w:tc>
      </w:tr>
      <w:tr>
        <w:tc>
          <w:tcPr>
            <w:tcW w:type="dxa" w:w="1417"/>
            <w:shd w:val="clear" w:color="auto" w:fill="f9fafb"/>
          </w:tcPr>
          <w:p>
            <w:r>
              <w:rPr>
                <w:rFonts w:ascii="Calibri" w:hAnsi="Calibri"/>
                <w:sz w:val="19"/>
              </w:rPr>
              <w:t>2079</w:t>
            </w:r>
          </w:p>
        </w:tc>
        <w:tc>
          <w:tcPr>
            <w:tcW w:type="dxa" w:w="1247"/>
            <w:shd w:val="clear" w:color="auto" w:fill="f9fafb"/>
          </w:tcPr>
          <w:p>
            <w:r>
              <w:rPr>
                <w:rFonts w:ascii="Calibri" w:hAnsi="Calibri"/>
                <w:sz w:val="19"/>
              </w:rPr>
              <w:t>3,531</w:t>
            </w:r>
          </w:p>
        </w:tc>
        <w:tc>
          <w:tcPr>
            <w:tcW w:type="dxa" w:w="1247"/>
            <w:shd w:val="clear" w:color="auto" w:fill="f9fafb"/>
          </w:tcPr>
          <w:p>
            <w:r>
              <w:rPr>
                <w:rFonts w:ascii="Calibri" w:hAnsi="Calibri"/>
                <w:sz w:val="19"/>
              </w:rPr>
              <w:t>294.3</w:t>
            </w:r>
          </w:p>
        </w:tc>
        <w:tc>
          <w:tcPr>
            <w:tcW w:type="dxa" w:w="1247"/>
            <w:shd w:val="clear" w:color="auto" w:fill="f9fafb"/>
          </w:tcPr>
          <w:p>
            <w:r>
              <w:rPr>
                <w:rFonts w:ascii="Calibri" w:hAnsi="Calibri"/>
                <w:sz w:val="19"/>
              </w:rPr>
              <w:t>169.2</w:t>
            </w:r>
          </w:p>
        </w:tc>
        <w:tc>
          <w:tcPr>
            <w:tcW w:type="dxa" w:w="1020"/>
            <w:shd w:val="clear" w:color="auto" w:fill="f9fafb"/>
          </w:tcPr>
          <w:p>
            <w:r>
              <w:rPr>
                <w:rFonts w:ascii="Calibri" w:hAnsi="Calibri"/>
                <w:sz w:val="19"/>
              </w:rPr>
              <w:t>81.3%</w:t>
            </w:r>
          </w:p>
        </w:tc>
        <w:tc>
          <w:tcPr>
            <w:tcW w:type="dxa" w:w="1134"/>
            <w:shd w:val="clear" w:color="auto" w:fill="f9fafb"/>
          </w:tcPr>
          <w:p>
            <w:r>
              <w:rPr>
                <w:rFonts w:ascii="Calibri" w:hAnsi="Calibri"/>
                <w:sz w:val="19"/>
              </w:rPr>
              <w:t>2.0%</w:t>
            </w:r>
          </w:p>
        </w:tc>
        <w:tc>
          <w:tcPr>
            <w:tcW w:type="dxa" w:w="1020"/>
            <w:shd w:val="clear" w:color="auto" w:fill="f9fafb"/>
          </w:tcPr>
          <w:p>
            <w:r>
              <w:rPr>
                <w:rFonts w:ascii="Calibri" w:hAnsi="Calibri"/>
                <w:sz w:val="19"/>
              </w:rPr>
              <w:t>1.5%</w:t>
            </w:r>
          </w:p>
        </w:tc>
        <w:tc>
          <w:tcPr>
            <w:tcW w:type="dxa" w:w="1020"/>
            <w:shd w:val="clear" w:color="auto" w:fill="f9fafb"/>
          </w:tcPr>
          <w:p>
            <w:r>
              <w:rPr>
                <w:rFonts w:ascii="Calibri" w:hAnsi="Calibri"/>
                <w:sz w:val="19"/>
              </w:rPr>
              <w:t>33</w:t>
            </w:r>
          </w:p>
        </w:tc>
      </w:tr>
      <w:tr>
        <w:tc>
          <w:tcPr>
            <w:tcW w:type="dxa" w:w="1417"/>
            <w:shd w:val="clear" w:color="auto" w:fill="ffffff"/>
          </w:tcPr>
          <w:p>
            <w:r>
              <w:rPr>
                <w:rFonts w:ascii="Calibri" w:hAnsi="Calibri"/>
                <w:sz w:val="19"/>
              </w:rPr>
              <w:t>2080</w:t>
            </w:r>
          </w:p>
        </w:tc>
        <w:tc>
          <w:tcPr>
            <w:tcW w:type="dxa" w:w="1247"/>
            <w:shd w:val="clear" w:color="auto" w:fill="ffffff"/>
          </w:tcPr>
          <w:p>
            <w:r>
              <w:rPr>
                <w:rFonts w:ascii="Calibri" w:hAnsi="Calibri"/>
                <w:sz w:val="19"/>
              </w:rPr>
              <w:t>3,631</w:t>
            </w:r>
          </w:p>
        </w:tc>
        <w:tc>
          <w:tcPr>
            <w:tcW w:type="dxa" w:w="1247"/>
            <w:shd w:val="clear" w:color="auto" w:fill="ffffff"/>
          </w:tcPr>
          <w:p>
            <w:r>
              <w:rPr>
                <w:rFonts w:ascii="Calibri" w:hAnsi="Calibri"/>
                <w:sz w:val="19"/>
              </w:rPr>
              <w:t>302.6</w:t>
            </w:r>
          </w:p>
        </w:tc>
        <w:tc>
          <w:tcPr>
            <w:tcW w:type="dxa" w:w="1247"/>
            <w:shd w:val="clear" w:color="auto" w:fill="ffffff"/>
          </w:tcPr>
          <w:p>
            <w:r>
              <w:rPr>
                <w:rFonts w:ascii="Calibri" w:hAnsi="Calibri"/>
                <w:sz w:val="19"/>
              </w:rPr>
              <w:t>171.1</w:t>
            </w:r>
          </w:p>
        </w:tc>
        <w:tc>
          <w:tcPr>
            <w:tcW w:type="dxa" w:w="1020"/>
            <w:shd w:val="clear" w:color="auto" w:fill="ffffff"/>
          </w:tcPr>
          <w:p>
            <w:r>
              <w:rPr>
                <w:rFonts w:ascii="Calibri" w:hAnsi="Calibri"/>
                <w:sz w:val="19"/>
              </w:rPr>
              <w:t>87.1%</w:t>
            </w:r>
          </w:p>
        </w:tc>
        <w:tc>
          <w:tcPr>
            <w:tcW w:type="dxa" w:w="1134"/>
            <w:shd w:val="clear" w:color="auto" w:fill="ffffff"/>
          </w:tcPr>
          <w:p>
            <w:r>
              <w:rPr>
                <w:rFonts w:ascii="Calibri" w:hAnsi="Calibri"/>
                <w:sz w:val="19"/>
              </w:rPr>
              <w:t>2.1%</w:t>
            </w:r>
          </w:p>
        </w:tc>
        <w:tc>
          <w:tcPr>
            <w:tcW w:type="dxa" w:w="1020"/>
            <w:shd w:val="clear" w:color="auto" w:fill="ffffff"/>
          </w:tcPr>
          <w:p>
            <w:r>
              <w:rPr>
                <w:rFonts w:ascii="Calibri" w:hAnsi="Calibri"/>
                <w:sz w:val="19"/>
              </w:rPr>
              <w:t>2.4%</w:t>
            </w:r>
          </w:p>
        </w:tc>
        <w:tc>
          <w:tcPr>
            <w:tcW w:type="dxa" w:w="1020"/>
            <w:shd w:val="clear" w:color="auto" w:fill="ffffff"/>
          </w:tcPr>
          <w:p>
            <w:r>
              <w:rPr>
                <w:rFonts w:ascii="Calibri" w:hAnsi="Calibri"/>
                <w:sz w:val="19"/>
              </w:rPr>
              <w:t>21</w:t>
            </w:r>
          </w:p>
        </w:tc>
      </w:tr>
      <w:tr>
        <w:tc>
          <w:tcPr>
            <w:tcW w:type="dxa" w:w="1417"/>
            <w:shd w:val="clear" w:color="auto" w:fill="f9fafb"/>
          </w:tcPr>
          <w:p>
            <w:r>
              <w:rPr>
                <w:rFonts w:ascii="Calibri" w:hAnsi="Calibri"/>
                <w:sz w:val="19"/>
              </w:rPr>
              <w:t>2081</w:t>
            </w:r>
          </w:p>
        </w:tc>
        <w:tc>
          <w:tcPr>
            <w:tcW w:type="dxa" w:w="1247"/>
            <w:shd w:val="clear" w:color="auto" w:fill="f9fafb"/>
          </w:tcPr>
          <w:p>
            <w:r>
              <w:rPr>
                <w:rFonts w:ascii="Calibri" w:hAnsi="Calibri"/>
                <w:sz w:val="19"/>
              </w:rPr>
              <w:t>3,618</w:t>
            </w:r>
          </w:p>
        </w:tc>
        <w:tc>
          <w:tcPr>
            <w:tcW w:type="dxa" w:w="1247"/>
            <w:shd w:val="clear" w:color="auto" w:fill="f9fafb"/>
          </w:tcPr>
          <w:p>
            <w:r>
              <w:rPr>
                <w:rFonts w:ascii="Calibri" w:hAnsi="Calibri"/>
                <w:sz w:val="19"/>
              </w:rPr>
              <w:t>301.5</w:t>
            </w:r>
          </w:p>
        </w:tc>
        <w:tc>
          <w:tcPr>
            <w:tcW w:type="dxa" w:w="1247"/>
            <w:shd w:val="clear" w:color="auto" w:fill="f9fafb"/>
          </w:tcPr>
          <w:p>
            <w:r>
              <w:rPr>
                <w:rFonts w:ascii="Calibri" w:hAnsi="Calibri"/>
                <w:sz w:val="19"/>
              </w:rPr>
              <w:t>167.8</w:t>
            </w:r>
          </w:p>
        </w:tc>
        <w:tc>
          <w:tcPr>
            <w:tcW w:type="dxa" w:w="1020"/>
            <w:shd w:val="clear" w:color="auto" w:fill="f9fafb"/>
          </w:tcPr>
          <w:p>
            <w:r>
              <w:rPr>
                <w:rFonts w:ascii="Calibri" w:hAnsi="Calibri"/>
                <w:sz w:val="19"/>
              </w:rPr>
              <w:t>85.9%</w:t>
            </w:r>
          </w:p>
        </w:tc>
        <w:tc>
          <w:tcPr>
            <w:tcW w:type="dxa" w:w="1134"/>
            <w:shd w:val="clear" w:color="auto" w:fill="f9fafb"/>
          </w:tcPr>
          <w:p>
            <w:r>
              <w:rPr>
                <w:rFonts w:ascii="Calibri" w:hAnsi="Calibri"/>
                <w:sz w:val="19"/>
              </w:rPr>
              <w:t>1.7%</w:t>
            </w:r>
          </w:p>
        </w:tc>
        <w:tc>
          <w:tcPr>
            <w:tcW w:type="dxa" w:w="1020"/>
            <w:shd w:val="clear" w:color="auto" w:fill="f9fafb"/>
          </w:tcPr>
          <w:p>
            <w:r>
              <w:rPr>
                <w:rFonts w:ascii="Calibri" w:hAnsi="Calibri"/>
                <w:sz w:val="19"/>
              </w:rPr>
              <w:t>2.0%</w:t>
            </w:r>
          </w:p>
        </w:tc>
        <w:tc>
          <w:tcPr>
            <w:tcW w:type="dxa" w:w="1020"/>
            <w:shd w:val="clear" w:color="auto" w:fill="f9fafb"/>
          </w:tcPr>
          <w:p>
            <w:r>
              <w:rPr>
                <w:rFonts w:ascii="Calibri" w:hAnsi="Calibri"/>
                <w:sz w:val="19"/>
              </w:rPr>
              <w:t>41</w:t>
            </w:r>
          </w:p>
        </w:tc>
      </w:tr>
      <w:tr>
        <w:tc>
          <w:tcPr>
            <w:tcW w:type="dxa" w:w="1417"/>
            <w:shd w:val="clear" w:color="auto" w:fill="ffffff"/>
          </w:tcPr>
          <w:p>
            <w:r>
              <w:rPr>
                <w:rFonts w:ascii="Calibri" w:hAnsi="Calibri"/>
                <w:sz w:val="19"/>
              </w:rPr>
              <w:t>2082</w:t>
            </w:r>
          </w:p>
        </w:tc>
        <w:tc>
          <w:tcPr>
            <w:tcW w:type="dxa" w:w="1247"/>
            <w:shd w:val="clear" w:color="auto" w:fill="ffffff"/>
          </w:tcPr>
          <w:p>
            <w:r>
              <w:rPr>
                <w:rFonts w:ascii="Calibri" w:hAnsi="Calibri"/>
                <w:sz w:val="19"/>
              </w:rPr>
              <w:t>3,314</w:t>
            </w:r>
          </w:p>
        </w:tc>
        <w:tc>
          <w:tcPr>
            <w:tcW w:type="dxa" w:w="1247"/>
            <w:shd w:val="clear" w:color="auto" w:fill="ffffff"/>
          </w:tcPr>
          <w:p>
            <w:r>
              <w:rPr>
                <w:rFonts w:ascii="Calibri" w:hAnsi="Calibri"/>
                <w:sz w:val="19"/>
              </w:rPr>
              <w:t>276.2</w:t>
            </w:r>
          </w:p>
        </w:tc>
        <w:tc>
          <w:tcPr>
            <w:tcW w:type="dxa" w:w="1247"/>
            <w:shd w:val="clear" w:color="auto" w:fill="ffffff"/>
          </w:tcPr>
          <w:p>
            <w:r>
              <w:rPr>
                <w:rFonts w:ascii="Calibri" w:hAnsi="Calibri"/>
                <w:sz w:val="19"/>
              </w:rPr>
              <w:t>151.5</w:t>
            </w:r>
          </w:p>
        </w:tc>
        <w:tc>
          <w:tcPr>
            <w:tcW w:type="dxa" w:w="1020"/>
            <w:shd w:val="clear" w:color="auto" w:fill="ffffff"/>
          </w:tcPr>
          <w:p>
            <w:r>
              <w:rPr>
                <w:rFonts w:ascii="Calibri" w:hAnsi="Calibri"/>
                <w:sz w:val="19"/>
              </w:rPr>
              <w:t>83.4%</w:t>
            </w:r>
          </w:p>
        </w:tc>
        <w:tc>
          <w:tcPr>
            <w:tcW w:type="dxa" w:w="1134"/>
            <w:shd w:val="clear" w:color="auto" w:fill="ffffff"/>
          </w:tcPr>
          <w:p>
            <w:r>
              <w:rPr>
                <w:rFonts w:ascii="Calibri" w:hAnsi="Calibri"/>
                <w:sz w:val="19"/>
              </w:rPr>
              <w:t>2.7%</w:t>
            </w:r>
          </w:p>
        </w:tc>
        <w:tc>
          <w:tcPr>
            <w:tcW w:type="dxa" w:w="1020"/>
            <w:shd w:val="clear" w:color="auto" w:fill="ffffff"/>
          </w:tcPr>
          <w:p>
            <w:r>
              <w:rPr>
                <w:rFonts w:ascii="Calibri" w:hAnsi="Calibri"/>
                <w:sz w:val="19"/>
              </w:rPr>
              <w:t>2.1%</w:t>
            </w:r>
          </w:p>
        </w:tc>
        <w:tc>
          <w:tcPr>
            <w:tcW w:type="dxa" w:w="1020"/>
            <w:shd w:val="clear" w:color="auto" w:fill="ffffff"/>
          </w:tcPr>
          <w:p>
            <w:r>
              <w:rPr>
                <w:rFonts w:ascii="Calibri" w:hAnsi="Calibri"/>
                <w:sz w:val="19"/>
              </w:rPr>
              <w:t>46</w:t>
            </w:r>
          </w:p>
        </w:tc>
      </w:tr>
      <w:tr>
        <w:tc>
          <w:tcPr>
            <w:tcW w:type="dxa" w:w="1417"/>
            <w:shd w:val="clear" w:color="auto" w:fill="f9fafb"/>
          </w:tcPr>
          <w:p>
            <w:r>
              <w:rPr>
                <w:rFonts w:ascii="Calibri" w:hAnsi="Calibri"/>
                <w:sz w:val="19"/>
              </w:rPr>
              <w:t>Total / Mean</w:t>
            </w:r>
          </w:p>
        </w:tc>
        <w:tc>
          <w:tcPr>
            <w:tcW w:type="dxa" w:w="1247"/>
            <w:shd w:val="clear" w:color="auto" w:fill="f9fafb"/>
          </w:tcPr>
          <w:p>
            <w:r>
              <w:rPr>
                <w:rFonts w:ascii="Calibri" w:hAnsi="Calibri"/>
                <w:sz w:val="19"/>
              </w:rPr>
              <w:t>17,263</w:t>
            </w:r>
          </w:p>
        </w:tc>
        <w:tc>
          <w:tcPr>
            <w:tcW w:type="dxa" w:w="1247"/>
            <w:shd w:val="clear" w:color="auto" w:fill="f9fafb"/>
          </w:tcPr>
          <w:p>
            <w:r>
              <w:rPr>
                <w:rFonts w:ascii="Calibri" w:hAnsi="Calibri"/>
                <w:sz w:val="19"/>
              </w:rPr>
              <w:t>287.7</w:t>
            </w:r>
          </w:p>
        </w:tc>
        <w:tc>
          <w:tcPr>
            <w:tcW w:type="dxa" w:w="1247"/>
            <w:shd w:val="clear" w:color="auto" w:fill="f9fafb"/>
          </w:tcPr>
          <w:p>
            <w:r>
              <w:rPr>
                <w:rFonts w:ascii="Calibri" w:hAnsi="Calibri"/>
                <w:sz w:val="19"/>
              </w:rPr>
              <w:t>164.1</w:t>
            </w:r>
          </w:p>
        </w:tc>
        <w:tc>
          <w:tcPr>
            <w:tcW w:type="dxa" w:w="1020"/>
            <w:shd w:val="clear" w:color="auto" w:fill="f9fafb"/>
          </w:tcPr>
          <w:p>
            <w:r>
              <w:rPr>
                <w:rFonts w:ascii="Calibri" w:hAnsi="Calibri"/>
                <w:sz w:val="19"/>
              </w:rPr>
              <w:t>84.0%</w:t>
            </w:r>
          </w:p>
        </w:tc>
        <w:tc>
          <w:tcPr>
            <w:tcW w:type="dxa" w:w="1134"/>
            <w:shd w:val="clear" w:color="auto" w:fill="f9fafb"/>
          </w:tcPr>
          <w:p>
            <w:r>
              <w:rPr>
                <w:rFonts w:ascii="Calibri" w:hAnsi="Calibri"/>
                <w:sz w:val="19"/>
              </w:rPr>
              <w:t>2.2%</w:t>
            </w:r>
          </w:p>
        </w:tc>
        <w:tc>
          <w:tcPr>
            <w:tcW w:type="dxa" w:w="1020"/>
            <w:shd w:val="clear" w:color="auto" w:fill="f9fafb"/>
          </w:tcPr>
          <w:p>
            <w:r>
              <w:rPr>
                <w:rFonts w:ascii="Calibri" w:hAnsi="Calibri"/>
                <w:sz w:val="19"/>
              </w:rPr>
              <w:t>1.9%</w:t>
            </w:r>
          </w:p>
        </w:tc>
        <w:tc>
          <w:tcPr>
            <w:tcW w:type="dxa" w:w="1020"/>
            <w:shd w:val="clear" w:color="auto" w:fill="f9fafb"/>
          </w:tcPr>
          <w:p>
            <w:r>
              <w:rPr>
                <w:rFonts w:ascii="Calibri" w:hAnsi="Calibri"/>
                <w:sz w:val="19"/>
              </w:rPr>
              <w:t>163</w:t>
            </w:r>
          </w:p>
        </w:tc>
      </w:tr>
    </w:tbl>
    <w:p/>
    <w:p>
      <w:pPr>
        <w:pStyle w:val="Heading2"/>
      </w:pPr>
      <w:r>
        <w:t>Key Epidemiological Findings</w:t>
      </w:r>
    </w:p>
    <w:p>
      <w:pPr>
        <w:pStyle w:val="ListBullet"/>
        <w:spacing w:after="40"/>
      </w:pPr>
      <w:r>
        <w:rPr>
          <w:sz w:val="21"/>
        </w:rPr>
        <w:t>Total new TB cases: 17,263 over 60 months (average 288/month)</w:t>
      </w:r>
    </w:p>
    <w:p>
      <w:pPr>
        <w:pStyle w:val="ListBullet"/>
        <w:spacing w:after="40"/>
      </w:pPr>
      <w:r>
        <w:rPr>
          <w:sz w:val="21"/>
        </w:rPr>
        <w:t>5-year average treatment success rate: 84.0% — programme achieves ≥85% in BS 2080–2081</w:t>
      </w:r>
    </w:p>
    <w:p>
      <w:pPr>
        <w:pStyle w:val="ListBullet"/>
        <w:spacing w:after="40"/>
      </w:pPr>
      <w:r>
        <w:rPr>
          <w:sz w:val="21"/>
        </w:rPr>
        <w:t>Average annualised notification rate: 164.1/100,000 — within NTP expected urban range</w:t>
      </w:r>
    </w:p>
    <w:p>
      <w:pPr>
        <w:pStyle w:val="ListBullet"/>
        <w:spacing w:after="40"/>
      </w:pPr>
      <w:r>
        <w:rPr>
          <w:sz w:val="21"/>
        </w:rPr>
        <w:t>Peak age group: 15–24 years (26.2% of cases) — consistent with working-age migration pattern</w:t>
      </w:r>
    </w:p>
    <w:p>
      <w:pPr>
        <w:pStyle w:val="ListBullet"/>
        <w:spacing w:after="40"/>
      </w:pPr>
      <w:r>
        <w:rPr>
          <w:sz w:val="21"/>
        </w:rPr>
        <w:t>M:F notification ratio: 1.19 — males consistently outnumber females across all age groups</w:t>
      </w:r>
    </w:p>
    <w:p>
      <w:pPr>
        <w:pStyle w:val="ListBullet"/>
        <w:spacing w:after="40"/>
      </w:pPr>
      <w:r>
        <w:rPr>
          <w:sz w:val="21"/>
        </w:rPr>
        <w:t>HIV co-infection: increasing from 22 (BS 2078) to 46 (BS 2082) — warrants dual-surveillance attention</w:t>
      </w:r>
    </w:p>
    <w:p>
      <w:pPr>
        <w:pStyle w:val="ListBullet"/>
        <w:spacing w:after="40"/>
      </w:pPr>
      <w:r>
        <w:rPr>
          <w:sz w:val="21"/>
        </w:rPr>
        <w:t>LTFU rate: mean 1.9% — well below regional average, indicating strong patient follow-up</w:t>
      </w:r>
    </w:p>
    <w:p>
      <w:pPr>
        <w:pStyle w:val="ListBullet"/>
        <w:spacing w:after="40"/>
      </w:pPr>
      <w:r>
        <w:rPr>
          <w:sz w:val="21"/>
        </w:rPr>
        <w:t>Bacteriological confirmation: mean 41.1% — indicates mixed smear/clinical diagnosis practice</w:t>
      </w:r>
    </w:p>
    <w:p>
      <w:pPr>
        <w:pStyle w:val="ListBullet"/>
        <w:spacing w:after="40"/>
      </w:pPr>
      <w:r>
        <w:rPr>
          <w:sz w:val="21"/>
        </w:rPr>
        <w:t>Seasonality: case peak in Asar–Bhadra (Jun–Aug), trough in Magh–Falgun (Jan–Mar)</w:t>
      </w:r>
    </w:p>
    <w:p>
      <w:pPr>
        <w:pStyle w:val="ListBullet"/>
        <w:spacing w:after="40"/>
      </w:pPr>
      <w:r>
        <w:rPr>
          <w:sz w:val="21"/>
        </w:rPr>
        <w:t>3-month COVID-19-era gap: 730 cases (4.2%) without sex/age data — formally encoded as DAR</w:t>
      </w:r>
    </w:p>
    <w:p>
      <w:pPr>
        <w:pStyle w:val="Heading2"/>
      </w:pPr>
      <w:r>
        <w:t>Technical Achievement Highlights</w:t>
      </w:r>
    </w:p>
    <w:p>
      <w:pPr>
        <w:pStyle w:val="ListBullet"/>
        <w:spacing w:after="40"/>
      </w:pPr>
      <w:r>
        <w:rPr>
          <w:sz w:val="21"/>
        </w:rPr>
        <w:t>100% FHIR R4 validation pass rate — 77,368 automated checks across 2,057 resources, 0 failures</w:t>
      </w:r>
    </w:p>
    <w:p>
      <w:pPr>
        <w:pStyle w:val="ListBullet"/>
        <w:spacing w:after="40"/>
      </w:pPr>
      <w:r>
        <w:rPr>
          <w:sz w:val="21"/>
        </w:rPr>
        <w:t>Custom NepaliCalendarPeriod FHIR extension — preserves BS calendar in all 1,920 MeasureReports</w:t>
      </w:r>
    </w:p>
    <w:p>
      <w:pPr>
        <w:pStyle w:val="ListBullet"/>
        <w:spacing w:after="40"/>
      </w:pPr>
      <w:r>
        <w:rPr>
          <w:sz w:val="21"/>
        </w:rPr>
        <w:t>Full data lineage — 102-entry audit log traces every transformation from raw Excel to final CSV</w:t>
      </w:r>
    </w:p>
    <w:p>
      <w:pPr>
        <w:pStyle w:val="ListBullet"/>
        <w:spacing w:after="40"/>
      </w:pPr>
      <w:r>
        <w:rPr>
          <w:sz w:val="21"/>
        </w:rPr>
        <w:t>Zero-imputation integrity — gap months encoded via HL7 DAR (not-reported), never statistically filled</w:t>
      </w:r>
    </w:p>
    <w:p>
      <w:pPr>
        <w:pStyle w:val="ListBullet"/>
        <w:spacing w:after="40"/>
      </w:pPr>
      <w:r>
        <w:rPr>
          <w:sz w:val="21"/>
        </w:rPr>
        <w:t>International interoperability — FHIR R4 resources directly exchangeable with WHO, OpenHIE, DHIS2</w:t>
      </w:r>
    </w:p>
    <w:p>
      <w:pPr>
        <w:pStyle w:val="ListBullet"/>
        <w:spacing w:after="40"/>
      </w:pPr>
      <w:r>
        <w:rPr>
          <w:sz w:val="21"/>
        </w:rPr>
        <w:t>Automated IG CI/CD — SUSHI + IG Publisher + GitHub Pages triggers on every push to main</w:t>
      </w:r>
    </w:p>
    <w:p>
      <w:pPr>
        <w:pStyle w:val="ListBullet"/>
        <w:spacing w:after="40"/>
      </w:pPr>
      <w:r>
        <w:rPr>
          <w:sz w:val="21"/>
        </w:rPr>
        <w:t>FHIR-native dashboard — Streamlit consumes live API data, not flat files</w:t>
      </w:r>
    </w:p>
    <w:p>
      <w:pPr>
        <w:pStyle w:val="ListBullet"/>
        <w:spacing w:after="40"/>
      </w:pPr>
      <w:r>
        <w:rPr>
          <w:sz w:val="21"/>
        </w:rPr>
        <w:t>First formal FHIR IG for Nepal NTP TB surveillance (IG v1.0.0 STU1)</w:t>
      </w:r>
    </w:p>
    <w:p>
      <w:pPr>
        <w:pStyle w:val="Heading2"/>
      </w:pPr>
      <w:r>
        <w:t>Recommendations</w:t>
      </w:r>
    </w:p>
    <w:p>
      <w:pPr>
        <w:spacing w:before="160" w:after="40"/>
      </w:pPr>
      <w:r>
        <w:rPr>
          <w:i/>
          <w:color w:val="6B7280"/>
          <w:sz w:val="18"/>
        </w:rPr>
        <w:t>Table S.3 — Recommendations by Priority</w:t>
      </w:r>
    </w:p>
    <w:tbl>
      <w:tblPr>
        <w:tblStyle w:val="TableGrid"/>
        <w:tblW w:type="auto" w:w="0"/>
        <w:jc w:val="center"/>
        <w:tblLook w:firstColumn="1" w:firstRow="1" w:lastColumn="0" w:lastRow="0" w:noHBand="0" w:noVBand="1" w:val="04A0"/>
      </w:tblPr>
      <w:tblGrid>
        <w:gridCol w:w="3024"/>
        <w:gridCol w:w="3024"/>
        <w:gridCol w:w="3024"/>
      </w:tblGrid>
      <w:tr>
        <w:tc>
          <w:tcPr>
            <w:tcW w:type="dxa" w:w="1020"/>
            <w:shd w:val="clear" w:color="auto" w:fill="1c3761"/>
          </w:tcPr>
          <w:p>
            <w:pPr>
              <w:jc w:val="center"/>
            </w:pPr>
            <w:r>
              <w:rPr>
                <w:rFonts w:ascii="Calibri" w:hAnsi="Calibri"/>
                <w:b/>
                <w:color w:val="FFFFFF"/>
                <w:sz w:val="19"/>
              </w:rPr>
              <w:t>Priority</w:t>
            </w:r>
          </w:p>
        </w:tc>
        <w:tc>
          <w:tcPr>
            <w:tcW w:type="dxa" w:w="3685"/>
            <w:shd w:val="clear" w:color="auto" w:fill="1c3761"/>
          </w:tcPr>
          <w:p>
            <w:pPr>
              <w:jc w:val="center"/>
            </w:pPr>
            <w:r>
              <w:rPr>
                <w:rFonts w:ascii="Calibri" w:hAnsi="Calibri"/>
                <w:b/>
                <w:color w:val="FFFFFF"/>
                <w:sz w:val="19"/>
              </w:rPr>
              <w:t>Recommendation</w:t>
            </w:r>
          </w:p>
        </w:tc>
        <w:tc>
          <w:tcPr>
            <w:tcW w:type="dxa" w:w="4479"/>
            <w:shd w:val="clear" w:color="auto" w:fill="1c3761"/>
          </w:tcPr>
          <w:p>
            <w:pPr>
              <w:jc w:val="center"/>
            </w:pPr>
            <w:r>
              <w:rPr>
                <w:rFonts w:ascii="Calibri" w:hAnsi="Calibri"/>
                <w:b/>
                <w:color w:val="FFFFFF"/>
                <w:sz w:val="19"/>
              </w:rPr>
              <w:t>Rationale</w:t>
            </w:r>
          </w:p>
        </w:tc>
      </w:tr>
      <w:tr>
        <w:tc>
          <w:tcPr>
            <w:tcW w:type="dxa" w:w="1020"/>
            <w:shd w:val="clear" w:color="auto" w:fill="ffffff"/>
          </w:tcPr>
          <w:p>
            <w:r>
              <w:rPr>
                <w:rFonts w:ascii="Calibri" w:hAnsi="Calibri"/>
                <w:sz w:val="19"/>
              </w:rPr>
              <w:t>High</w:t>
            </w:r>
          </w:p>
        </w:tc>
        <w:tc>
          <w:tcPr>
            <w:tcW w:type="dxa" w:w="3685"/>
            <w:shd w:val="clear" w:color="auto" w:fill="ffffff"/>
          </w:tcPr>
          <w:p>
            <w:r>
              <w:rPr>
                <w:rFonts w:ascii="Calibri" w:hAnsi="Calibri"/>
                <w:sz w:val="19"/>
              </w:rPr>
              <w:t>Investigate TB-HIV co-infection increase (22→46, BS 2078–2082)</w:t>
            </w:r>
          </w:p>
        </w:tc>
        <w:tc>
          <w:tcPr>
            <w:tcW w:type="dxa" w:w="4479"/>
            <w:shd w:val="clear" w:color="auto" w:fill="ffffff"/>
          </w:tcPr>
          <w:p>
            <w:r>
              <w:rPr>
                <w:rFonts w:ascii="Calibri" w:hAnsi="Calibri"/>
                <w:sz w:val="19"/>
              </w:rPr>
              <w:t>Upward trend requires dual-surveillance and integrated treatment protocols</w:t>
            </w:r>
          </w:p>
        </w:tc>
      </w:tr>
      <w:tr>
        <w:tc>
          <w:tcPr>
            <w:tcW w:type="dxa" w:w="1020"/>
            <w:shd w:val="clear" w:color="auto" w:fill="f9fafb"/>
          </w:tcPr>
          <w:p>
            <w:r>
              <w:rPr>
                <w:rFonts w:ascii="Calibri" w:hAnsi="Calibri"/>
                <w:sz w:val="19"/>
              </w:rPr>
              <w:t>High</w:t>
            </w:r>
          </w:p>
        </w:tc>
        <w:tc>
          <w:tcPr>
            <w:tcW w:type="dxa" w:w="3685"/>
            <w:shd w:val="clear" w:color="auto" w:fill="f9fafb"/>
          </w:tcPr>
          <w:p>
            <w:r>
              <w:rPr>
                <w:rFonts w:ascii="Calibri" w:hAnsi="Calibri"/>
                <w:sz w:val="19"/>
              </w:rPr>
              <w:t>Address not-evaluated rate (mean 4.3%)</w:t>
            </w:r>
          </w:p>
        </w:tc>
        <w:tc>
          <w:tcPr>
            <w:tcW w:type="dxa" w:w="4479"/>
            <w:shd w:val="clear" w:color="auto" w:fill="f9fafb"/>
          </w:tcPr>
          <w:p>
            <w:r>
              <w:rPr>
                <w:rFonts w:ascii="Calibri" w:hAnsi="Calibri"/>
                <w:sz w:val="19"/>
              </w:rPr>
              <w:t>Can mask true failures; systematic outcome recording improvement needed</w:t>
            </w:r>
          </w:p>
        </w:tc>
      </w:tr>
      <w:tr>
        <w:tc>
          <w:tcPr>
            <w:tcW w:type="dxa" w:w="1020"/>
            <w:shd w:val="clear" w:color="auto" w:fill="ffffff"/>
          </w:tcPr>
          <w:p>
            <w:r>
              <w:rPr>
                <w:rFonts w:ascii="Calibri" w:hAnsi="Calibri"/>
                <w:sz w:val="19"/>
              </w:rPr>
              <w:t>Medium</w:t>
            </w:r>
          </w:p>
        </w:tc>
        <w:tc>
          <w:tcPr>
            <w:tcW w:type="dxa" w:w="3685"/>
            <w:shd w:val="clear" w:color="auto" w:fill="ffffff"/>
          </w:tcPr>
          <w:p>
            <w:r>
              <w:rPr>
                <w:rFonts w:ascii="Calibri" w:hAnsi="Calibri"/>
                <w:sz w:val="19"/>
              </w:rPr>
              <w:t>Expand FHIR pipeline to all Bagmati Province districts</w:t>
            </w:r>
          </w:p>
        </w:tc>
        <w:tc>
          <w:tcPr>
            <w:tcW w:type="dxa" w:w="4479"/>
            <w:shd w:val="clear" w:color="auto" w:fill="ffffff"/>
          </w:tcPr>
          <w:p>
            <w:r>
              <w:rPr>
                <w:rFonts w:ascii="Calibri" w:hAnsi="Calibri"/>
                <w:sz w:val="19"/>
              </w:rPr>
              <w:t>Kathmandu pipeline is proven and replicable; enables province-level analysis</w:t>
            </w:r>
          </w:p>
        </w:tc>
      </w:tr>
      <w:tr>
        <w:tc>
          <w:tcPr>
            <w:tcW w:type="dxa" w:w="1020"/>
            <w:shd w:val="clear" w:color="auto" w:fill="f9fafb"/>
          </w:tcPr>
          <w:p>
            <w:r>
              <w:rPr>
                <w:rFonts w:ascii="Calibri" w:hAnsi="Calibri"/>
                <w:sz w:val="19"/>
              </w:rPr>
              <w:t>Medium</w:t>
            </w:r>
          </w:p>
        </w:tc>
        <w:tc>
          <w:tcPr>
            <w:tcW w:type="dxa" w:w="3685"/>
            <w:shd w:val="clear" w:color="auto" w:fill="f9fafb"/>
          </w:tcPr>
          <w:p>
            <w:r>
              <w:rPr>
                <w:rFonts w:ascii="Calibri" w:hAnsi="Calibri"/>
                <w:sz w:val="19"/>
              </w:rPr>
              <w:t>Integrate population-adjusted notification rates into FHIR Measures</w:t>
            </w:r>
          </w:p>
        </w:tc>
        <w:tc>
          <w:tcPr>
            <w:tcW w:type="dxa" w:w="4479"/>
            <w:shd w:val="clear" w:color="auto" w:fill="f9fafb"/>
          </w:tcPr>
          <w:p>
            <w:r>
              <w:rPr>
                <w:rFonts w:ascii="Calibri" w:hAnsi="Calibri"/>
                <w:sz w:val="19"/>
              </w:rPr>
              <w:t>Currently computed in dashboard; should be encoded directly in MeasureScore</w:t>
            </w:r>
          </w:p>
        </w:tc>
      </w:tr>
      <w:tr>
        <w:tc>
          <w:tcPr>
            <w:tcW w:type="dxa" w:w="1020"/>
            <w:shd w:val="clear" w:color="auto" w:fill="ffffff"/>
          </w:tcPr>
          <w:p>
            <w:r>
              <w:rPr>
                <w:rFonts w:ascii="Calibri" w:hAnsi="Calibri"/>
                <w:sz w:val="19"/>
              </w:rPr>
              <w:t>Low</w:t>
            </w:r>
          </w:p>
        </w:tc>
        <w:tc>
          <w:tcPr>
            <w:tcW w:type="dxa" w:w="3685"/>
            <w:shd w:val="clear" w:color="auto" w:fill="ffffff"/>
          </w:tcPr>
          <w:p>
            <w:r>
              <w:rPr>
                <w:rFonts w:ascii="Calibri" w:hAnsi="Calibri"/>
                <w:sz w:val="19"/>
              </w:rPr>
              <w:t>Add FHIR Subscription resource for real-time dashboard refresh</w:t>
            </w:r>
          </w:p>
        </w:tc>
        <w:tc>
          <w:tcPr>
            <w:tcW w:type="dxa" w:w="4479"/>
            <w:shd w:val="clear" w:color="auto" w:fill="ffffff"/>
          </w:tcPr>
          <w:p>
            <w:r>
              <w:rPr>
                <w:rFonts w:ascii="Calibri" w:hAnsi="Calibri"/>
                <w:sz w:val="19"/>
              </w:rPr>
              <w:t>Current 5-minute cache could be replaced with event-driven updates</w:t>
            </w:r>
          </w:p>
        </w:tc>
      </w:tr>
      <w:tr>
        <w:tc>
          <w:tcPr>
            <w:tcW w:type="dxa" w:w="1020"/>
            <w:shd w:val="clear" w:color="auto" w:fill="f9fafb"/>
          </w:tcPr>
          <w:p>
            <w:r>
              <w:rPr>
                <w:rFonts w:ascii="Calibri" w:hAnsi="Calibri"/>
                <w:sz w:val="19"/>
              </w:rPr>
              <w:t>Low</w:t>
            </w:r>
          </w:p>
        </w:tc>
        <w:tc>
          <w:tcPr>
            <w:tcW w:type="dxa" w:w="3685"/>
            <w:shd w:val="clear" w:color="auto" w:fill="f9fafb"/>
          </w:tcPr>
          <w:p>
            <w:r>
              <w:rPr>
                <w:rFonts w:ascii="Calibri" w:hAnsi="Calibri"/>
                <w:sz w:val="19"/>
              </w:rPr>
              <w:t>Publish IG to HL7 FHIR registry</w:t>
            </w:r>
          </w:p>
        </w:tc>
        <w:tc>
          <w:tcPr>
            <w:tcW w:type="dxa" w:w="4479"/>
            <w:shd w:val="clear" w:color="auto" w:fill="f9fafb"/>
          </w:tcPr>
          <w:p>
            <w:r>
              <w:rPr>
                <w:rFonts w:ascii="Calibri" w:hAnsi="Calibri"/>
                <w:sz w:val="19"/>
              </w:rPr>
              <w:t>Increases international discoverability and enables WHO adoption</w:t>
            </w:r>
          </w:p>
        </w:tc>
      </w:tr>
    </w:tbl>
    <w:p/>
    <w:p>
      <w:pPr>
        <w:spacing w:before="120" w:after="40"/>
        <w:pBdr>
          <w:bottom w:val="single" w:sz="4" w:color="d1d5db"/>
        </w:pBdr>
      </w:pPr>
    </w:p>
    <w:p>
      <w:pPr>
        <w:spacing w:before="240" w:after="120"/>
        <w:jc w:val="center"/>
      </w:pPr>
      <w:r>
        <w:rPr>
          <w:rFonts w:ascii="Calibri" w:hAnsi="Calibri"/>
          <w:b w:val="0"/>
          <w:i/>
          <w:color w:val="9CA3AF"/>
          <w:sz w:val="18"/>
        </w:rPr>
        <w:t>Data Source: Nepal NTP / IIHMS DHIS2  ·  Kathmandu District  ·  BS 2078–2082  ·  FHIR Canonical: https://iihms.gov.np/fhir  ·  Report date: 2026-06-05</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C3761"/>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C3761"/>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