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557" w:sz="1"/>
              <w:left w:val="single" w:color="1A3557" w:sz="1"/>
              <w:bottom w:val="single" w:color="1A3557" w:sz="1"/>
              <w:right w:val="single" w:color="1A3557" w:sz="1"/>
            </w:tcBorders>
            <w:shd w:fill="1A3557" w:val="clear"/>
            <w:tcMar>
              <w:top w:type="dxa" w:w="220"/>
              <w:left w:type="dxa" w:w="300"/>
              <w:bottom w:type="dxa" w:w="220"/>
              <w:right w:type="dxa" w:w="300"/>
            </w:tcMar>
          </w:tcPr>
          <w:p>
            <w:pPr>
              <w:spacing w:after="60"/>
              <w:jc w:val="center"/>
            </w:pPr>
            <w:r>
              <w:rPr>
                <w:rFonts w:ascii="Calibri" w:cs="Calibri" w:eastAsia="Calibri" w:hAnsi="Calibri"/>
                <w:b/>
                <w:bCs/>
                <w:color w:val="FFFFFF"/>
                <w:sz w:val="72"/>
                <w:szCs w:val="72"/>
              </w:rPr>
              <w:t xml:space="preserve">CYBERCRIME</w:t>
            </w:r>
          </w:p>
          <w:p>
            <w:pPr>
              <w:jc w:val="center"/>
            </w:pPr>
            <w:r>
              <w:rPr>
                <w:rFonts w:ascii="Calibri" w:cs="Calibri" w:eastAsia="Calibri" w:hAnsi="Calibri"/>
                <w:i/>
                <w:iCs/>
                <w:color w:val="BDD7EE"/>
                <w:sz w:val="28"/>
                <w:szCs w:val="28"/>
              </w:rPr>
              <w:t xml:space="preserve">Case Study: Online Payment Fraud &amp; UPI Scams</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none"/>
              <w:bottom w:val="single" w:color="2E75B6" w:sz="4"/>
              <w:right w:val="none"/>
            </w:tcBorders>
            <w:shd w:fill="D6E4F7" w:val="clear"/>
            <w:tcMar>
              <w:top w:type="dxa" w:w="120"/>
              <w:left w:type="dxa" w:w="240"/>
              <w:bottom w:type="dxa" w:w="120"/>
              <w:right w:type="dxa" w:w="240"/>
            </w:tcMar>
          </w:tcPr>
          <w:p>
            <w:pPr>
              <w:jc w:val="center"/>
            </w:pPr>
            <w:r>
              <w:rPr>
                <w:rFonts w:ascii="Calibri" w:cs="Calibri" w:eastAsia="Calibri" w:hAnsi="Calibri"/>
                <w:b/>
                <w:bCs/>
                <w:color w:val="1A3557"/>
                <w:sz w:val="23"/>
                <w:szCs w:val="23"/>
              </w:rPr>
              <w:t xml:space="preserve">Name: </w:t>
            </w:r>
            <w:r>
              <w:rPr>
                <w:rFonts w:ascii="Calibri" w:cs="Calibri" w:eastAsia="Calibri" w:hAnsi="Calibri"/>
                <w:color w:val="222222"/>
                <w:sz w:val="23"/>
                <w:szCs w:val="23"/>
              </w:rPr>
              <w:t xml:space="preserve">Prastut Mahtha</w:t>
            </w:r>
            <w:r>
              <w:rPr>
                <w:rFonts w:ascii="Calibri" w:cs="Calibri" w:eastAsia="Calibri" w:hAnsi="Calibri"/>
                <w:color w:val="AAAAAA"/>
                <w:sz w:val="23"/>
                <w:szCs w:val="23"/>
              </w:rPr>
              <w:t xml:space="preserve">     |     </w:t>
            </w:r>
            <w:r>
              <w:rPr>
                <w:rFonts w:ascii="Calibri" w:cs="Calibri" w:eastAsia="Calibri" w:hAnsi="Calibri"/>
                <w:b/>
                <w:bCs/>
                <w:color w:val="1A3557"/>
                <w:sz w:val="23"/>
                <w:szCs w:val="23"/>
              </w:rPr>
              <w:t xml:space="preserve">Registration No.: </w:t>
            </w:r>
            <w:r>
              <w:rPr>
                <w:rFonts w:ascii="Calibri" w:cs="Calibri" w:eastAsia="Calibri" w:hAnsi="Calibri"/>
                <w:color w:val="222222"/>
                <w:sz w:val="23"/>
                <w:szCs w:val="23"/>
              </w:rPr>
              <w:t xml:space="preserve">25BAI11044</w:t>
            </w:r>
            <w:r>
              <w:rPr>
                <w:rFonts w:ascii="Calibri" w:cs="Calibri" w:eastAsia="Calibri" w:hAnsi="Calibri"/>
                <w:color w:val="AAAAAA"/>
                <w:sz w:val="23"/>
                <w:szCs w:val="23"/>
              </w:rPr>
              <w:t xml:space="preserve">     |     </w:t>
            </w:r>
            <w:r>
              <w:rPr>
                <w:rFonts w:ascii="Calibri" w:cs="Calibri" w:eastAsia="Calibri" w:hAnsi="Calibri"/>
                <w:b/>
                <w:bCs/>
                <w:color w:val="1A3557"/>
                <w:sz w:val="23"/>
                <w:szCs w:val="23"/>
              </w:rPr>
              <w:t xml:space="preserve">Course: </w:t>
            </w:r>
            <w:r>
              <w:rPr>
                <w:rFonts w:ascii="Calibri" w:cs="Calibri" w:eastAsia="Calibri" w:hAnsi="Calibri"/>
                <w:color w:val="222222"/>
                <w:sz w:val="23"/>
                <w:szCs w:val="23"/>
              </w:rPr>
              <w:t xml:space="preserve">Digital Literacy (CSE0001)</w:t>
            </w:r>
          </w:p>
        </w:tc>
      </w:tr>
    </w:tbl>
    <w:p>
      <w:pPr>
        <w:spacing w:after="160"/>
      </w:pPr>
      <w:r>
        <w:t xml:space="preserve"/>
      </w:r>
    </w:p>
    <w:p>
      <w:pPr>
        <w:pBdr>
          <w:left w:val="single" w:color="1A3557" w:sz="24" w:space="8"/>
        </w:pBdr>
        <w:spacing w:before="260" w:after="120"/>
        <w:ind w:left="200"/>
      </w:pPr>
      <w:r>
        <w:rPr>
          <w:rFonts w:ascii="Calibri" w:cs="Calibri" w:eastAsia="Calibri" w:hAnsi="Calibri"/>
          <w:b/>
          <w:bCs/>
          <w:color w:val="1A3557"/>
          <w:sz w:val="26"/>
          <w:szCs w:val="26"/>
        </w:rPr>
        <w:t xml:space="preserve">1.  Case Overview</w:t>
      </w:r>
    </w:p>
    <w:p>
      <w:pPr>
        <w:spacing w:after="200" w:line="340" w:lineRule="auto"/>
        <w:jc w:val="both"/>
      </w:pPr>
      <w:r>
        <w:rPr>
          <w:rFonts w:ascii="Calibri" w:cs="Calibri" w:eastAsia="Calibri" w:hAnsi="Calibri"/>
          <w:color w:val="2C2C2C"/>
          <w:sz w:val="22"/>
          <w:szCs w:val="22"/>
        </w:rPr>
        <w:t xml:space="preserve">In India, UPI (Unified Payments Interface) fraud has emerged as one of the fastest-growing categories of cybercrime. In these incidents, perpetrators deceive unsuspecting users into either transferring money or inadvertently disclosing confidential banking credentials. Unlike conventional hacking, this form of fraud relies primarily on social engineering — manipulating human psychology rather than exploiting technical vulnerabilities.</w:t>
      </w:r>
    </w:p>
    <w:p>
      <w:pPr>
        <w:pBdr>
          <w:left w:val="single" w:color="7B1A1A" w:sz="24" w:space="8"/>
        </w:pBdr>
        <w:spacing w:before="260" w:after="120"/>
        <w:ind w:left="200"/>
      </w:pPr>
      <w:r>
        <w:rPr>
          <w:rFonts w:ascii="Calibri" w:cs="Calibri" w:eastAsia="Calibri" w:hAnsi="Calibri"/>
          <w:b/>
          <w:bCs/>
          <w:color w:val="7B1A1A"/>
          <w:sz w:val="26"/>
          <w:szCs w:val="26"/>
        </w:rPr>
        <w:t xml:space="preserve">2.  Real-World Incident — The Case of Rahul</w:t>
      </w:r>
    </w:p>
    <w:p>
      <w:pPr>
        <w:spacing w:after="200" w:line="340" w:lineRule="auto"/>
        <w:jc w:val="both"/>
      </w:pPr>
      <w:r>
        <w:rPr>
          <w:rFonts w:ascii="Calibri" w:cs="Calibri" w:eastAsia="Calibri" w:hAnsi="Calibri"/>
          <w:color w:val="2C2C2C"/>
          <w:sz w:val="22"/>
          <w:szCs w:val="22"/>
        </w:rPr>
        <w:t xml:space="preserve">A representative case involves Rahul, a college student in India who listed a personal item for sale on an online marketplace. Shortly after posting his listing, he was contacted via a popular messaging application by an individual posing as a prospective buyer.</w:t>
      </w:r>
    </w:p>
    <w:p>
      <w:pPr>
        <w:spacing w:after="200" w:line="340" w:lineRule="auto"/>
        <w:jc w:val="both"/>
      </w:pPr>
      <w:r>
        <w:rPr>
          <w:rFonts w:ascii="Calibri" w:cs="Calibri" w:eastAsia="Calibri" w:hAnsi="Calibri"/>
          <w:color w:val="2C2C2C"/>
          <w:sz w:val="22"/>
          <w:szCs w:val="22"/>
        </w:rPr>
        <w:t xml:space="preserve">The fraudster sent Rahul a counterfeit 'payment receipt' link and instructed him to enter his UPI PIN in order to 'receive' the payment. Trusting the interaction, Rahul complied — unknowingly approving an outgoing transaction rather than receiving an incoming one. Within seconds, ₹15,000 was debited from his bank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7B1A1A" w:sz="28"/>
              <w:bottom w:val="none"/>
              <w:right w:val="none"/>
            </w:tcBorders>
            <w:shd w:fill="FDF0F0" w:val="clear"/>
            <w:tcMar>
              <w:top w:type="dxa" w:w="160"/>
              <w:left w:type="dxa" w:w="240"/>
              <w:bottom w:type="dxa" w:w="160"/>
              <w:right w:type="dxa" w:w="240"/>
            </w:tcMar>
          </w:tcPr>
          <w:p>
            <w:r>
              <w:rPr>
                <w:rFonts w:ascii="Calibri" w:cs="Calibri" w:eastAsia="Calibri" w:hAnsi="Calibri"/>
                <w:i/>
                <w:iCs/>
                <w:color w:val="7B1A1A"/>
                <w:sz w:val="21"/>
                <w:szCs w:val="21"/>
              </w:rPr>
              <w:t xml:space="preserve">⚠   Key Misconception: Rahul believed entering his UPI PIN would allow him to receive money. In reality, a UPI PIN is exclusively required to authorise outgoing payments. It is never required — or requested — to receive funds.</w:t>
            </w:r>
          </w:p>
        </w:tc>
      </w:tr>
    </w:tbl>
    <w:p>
      <w:pPr>
        <w:spacing w:after="100"/>
      </w:pPr>
      <w:r>
        <w:t xml:space="preserve"/>
      </w:r>
    </w:p>
    <w:p>
      <w:pPr>
        <w:pBdr>
          <w:left w:val="single" w:color="2E75B6" w:sz="24" w:space="8"/>
        </w:pBdr>
        <w:spacing w:before="260" w:after="120"/>
        <w:ind w:left="200"/>
      </w:pPr>
      <w:r>
        <w:rPr>
          <w:rFonts w:ascii="Calibri" w:cs="Calibri" w:eastAsia="Calibri" w:hAnsi="Calibri"/>
          <w:b/>
          <w:bCs/>
          <w:color w:val="2E75B6"/>
          <w:sz w:val="26"/>
          <w:szCs w:val="26"/>
        </w:rPr>
        <w:t xml:space="preserve">3.  How the Fraud Typically Unfolds — Step-by-Step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980"/>
      </w:tblGrid>
      <w:tr>
        <w:tc>
          <w:tcPr>
            <w:tcW w:type="dxa" w:w="900"/>
            <w:tcBorders>
              <w:top w:val="single" w:color="FFFFFF" w:sz="1"/>
              <w:left w:val="single" w:color="FFFFFF" w:sz="1"/>
              <w:bottom w:val="single" w:color="FFFFFF" w:sz="1"/>
              <w:right w:val="single" w:color="FFFFFF" w:sz="1"/>
            </w:tcBorders>
            <w:shd w:fill="2E75B6"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01</w:t>
            </w:r>
          </w:p>
        </w:tc>
        <w:tc>
          <w:tcPr>
            <w:tcW w:type="dxa" w:w="2200"/>
            <w:tcBorders>
              <w:top w:val="single" w:color="DDDDDD" w:sz="1"/>
              <w:left w:val="single" w:color="DDDDDD" w:sz="1"/>
              <w:bottom w:val="single" w:color="DDDDDD" w:sz="1"/>
              <w:right w:val="single" w:color="DDDDDD" w:sz="1"/>
            </w:tcBorders>
            <w:shd w:fill="EEF4FB" w:val="clear"/>
            <w:tcMar>
              <w:top w:type="dxa" w:w="120"/>
              <w:left w:type="dxa" w:w="160"/>
              <w:bottom w:type="dxa" w:w="120"/>
              <w:right w:type="dxa" w:w="120"/>
            </w:tcMar>
            <w:vAlign w:val="center"/>
          </w:tcPr>
          <w:p>
            <w:r>
              <w:rPr>
                <w:rFonts w:ascii="Calibri" w:cs="Calibri" w:eastAsia="Calibri" w:hAnsi="Calibri"/>
                <w:b/>
                <w:bCs/>
                <w:color w:val="1A3557"/>
                <w:sz w:val="22"/>
                <w:szCs w:val="22"/>
              </w:rPr>
              <w:t xml:space="preserve">Initial Contact</w:t>
            </w:r>
          </w:p>
        </w:tc>
        <w:tc>
          <w:tcPr>
            <w:tcW w:type="dxa" w:w="6260"/>
            <w:tcBorders>
              <w:top w:val="single" w:color="DDDDDD" w:sz="1"/>
              <w:left w:val="single" w:color="DDDDDD" w:sz="1"/>
              <w:bottom w:val="single" w:color="DDDDDD" w:sz="1"/>
              <w:right w:val="single" w:color="DDDDDD" w:sz="1"/>
            </w:tcBorders>
            <w:shd w:fill="EEF4FB" w:val="clear"/>
            <w:tcMar>
              <w:top w:type="dxa" w:w="120"/>
              <w:left w:type="dxa" w:w="160"/>
              <w:bottom w:type="dxa" w:w="120"/>
              <w:right w:type="dxa" w:w="160"/>
            </w:tcMar>
            <w:vAlign w:val="center"/>
          </w:tcPr>
          <w:p>
            <w:r>
              <w:rPr>
                <w:rFonts w:ascii="Calibri" w:cs="Calibri" w:eastAsia="Calibri" w:hAnsi="Calibri"/>
                <w:color w:val="333333"/>
                <w:sz w:val="21"/>
                <w:szCs w:val="21"/>
              </w:rPr>
              <w:t xml:space="preserve">The fraudster reaches out to the target via phone call, SMS, or messaging app.</w:t>
            </w:r>
          </w:p>
        </w:tc>
      </w:tr>
      <w:tr>
        <w:tc>
          <w:tcPr>
            <w:tcW w:type="dxa" w:w="900"/>
            <w:tcBorders>
              <w:top w:val="single" w:color="FFFFFF" w:sz="1"/>
              <w:left w:val="single" w:color="FFFFFF" w:sz="1"/>
              <w:bottom w:val="single" w:color="FFFFFF" w:sz="1"/>
              <w:right w:val="single" w:color="FFFFFF" w:sz="1"/>
            </w:tcBorders>
            <w:shd w:fill="2E75B6"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02</w:t>
            </w:r>
          </w:p>
        </w:tc>
        <w:tc>
          <w:tcPr>
            <w:tcW w:type="dxa" w:w="2200"/>
            <w:tcBorders>
              <w:top w:val="single" w:color="DDDDDD" w:sz="1"/>
              <w:left w:val="single" w:color="DDDDDD" w:sz="1"/>
              <w:bottom w:val="single" w:color="DDDDDD" w:sz="1"/>
              <w:right w:val="single" w:color="DDDDDD" w:sz="1"/>
            </w:tcBorders>
            <w:shd w:fill="FEF6EC" w:val="clear"/>
            <w:tcMar>
              <w:top w:type="dxa" w:w="120"/>
              <w:left w:type="dxa" w:w="160"/>
              <w:bottom w:type="dxa" w:w="120"/>
              <w:right w:type="dxa" w:w="120"/>
            </w:tcMar>
            <w:vAlign w:val="center"/>
          </w:tcPr>
          <w:p>
            <w:r>
              <w:rPr>
                <w:rFonts w:ascii="Calibri" w:cs="Calibri" w:eastAsia="Calibri" w:hAnsi="Calibri"/>
                <w:b/>
                <w:bCs/>
                <w:color w:val="7A4200"/>
                <w:sz w:val="22"/>
                <w:szCs w:val="22"/>
              </w:rPr>
              <w:t xml:space="preserve">Building Trust</w:t>
            </w:r>
          </w:p>
        </w:tc>
        <w:tc>
          <w:tcPr>
            <w:tcW w:type="dxa" w:w="6260"/>
            <w:tcBorders>
              <w:top w:val="single" w:color="DDDDDD" w:sz="1"/>
              <w:left w:val="single" w:color="DDDDDD" w:sz="1"/>
              <w:bottom w:val="single" w:color="DDDDDD" w:sz="1"/>
              <w:right w:val="single" w:color="DDDDDD" w:sz="1"/>
            </w:tcBorders>
            <w:shd w:fill="FEF6EC" w:val="clear"/>
            <w:tcMar>
              <w:top w:type="dxa" w:w="120"/>
              <w:left w:type="dxa" w:w="160"/>
              <w:bottom w:type="dxa" w:w="120"/>
              <w:right w:type="dxa" w:w="160"/>
            </w:tcMar>
            <w:vAlign w:val="center"/>
          </w:tcPr>
          <w:p>
            <w:r>
              <w:rPr>
                <w:rFonts w:ascii="Calibri" w:cs="Calibri" w:eastAsia="Calibri" w:hAnsi="Calibri"/>
                <w:color w:val="333333"/>
                <w:sz w:val="21"/>
                <w:szCs w:val="21"/>
              </w:rPr>
              <w:t xml:space="preserve">Urgency or a fabricated identity (e.g. buyer, bank representative) is used to establish credibility.</w:t>
            </w:r>
          </w:p>
        </w:tc>
      </w:tr>
      <w:tr>
        <w:tc>
          <w:tcPr>
            <w:tcW w:type="dxa" w:w="900"/>
            <w:tcBorders>
              <w:top w:val="single" w:color="FFFFFF" w:sz="1"/>
              <w:left w:val="single" w:color="FFFFFF" w:sz="1"/>
              <w:bottom w:val="single" w:color="FFFFFF" w:sz="1"/>
              <w:right w:val="single" w:color="FFFFFF" w:sz="1"/>
            </w:tcBorders>
            <w:shd w:fill="2E75B6"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03</w:t>
            </w:r>
          </w:p>
        </w:tc>
        <w:tc>
          <w:tcPr>
            <w:tcW w:type="dxa" w:w="2200"/>
            <w:tcBorders>
              <w:top w:val="single" w:color="DDDDDD" w:sz="1"/>
              <w:left w:val="single" w:color="DDDDDD" w:sz="1"/>
              <w:bottom w:val="single" w:color="DDDDDD" w:sz="1"/>
              <w:right w:val="single" w:color="DDDDDD" w:sz="1"/>
            </w:tcBorders>
            <w:shd w:fill="FDF0F0" w:val="clear"/>
            <w:tcMar>
              <w:top w:type="dxa" w:w="120"/>
              <w:left w:type="dxa" w:w="160"/>
              <w:bottom w:type="dxa" w:w="120"/>
              <w:right w:type="dxa" w:w="120"/>
            </w:tcMar>
            <w:vAlign w:val="center"/>
          </w:tcPr>
          <w:p>
            <w:r>
              <w:rPr>
                <w:rFonts w:ascii="Calibri" w:cs="Calibri" w:eastAsia="Calibri" w:hAnsi="Calibri"/>
                <w:b/>
                <w:bCs/>
                <w:color w:val="7B1A1A"/>
                <w:sz w:val="22"/>
                <w:szCs w:val="22"/>
              </w:rPr>
              <w:t xml:space="preserve">Malicious Link / QR</w:t>
            </w:r>
          </w:p>
        </w:tc>
        <w:tc>
          <w:tcPr>
            <w:tcW w:type="dxa" w:w="6260"/>
            <w:tcBorders>
              <w:top w:val="single" w:color="DDDDDD" w:sz="1"/>
              <w:left w:val="single" w:color="DDDDDD" w:sz="1"/>
              <w:bottom w:val="single" w:color="DDDDDD" w:sz="1"/>
              <w:right w:val="single" w:color="DDDDDD" w:sz="1"/>
            </w:tcBorders>
            <w:shd w:fill="FDF0F0" w:val="clear"/>
            <w:tcMar>
              <w:top w:type="dxa" w:w="120"/>
              <w:left w:type="dxa" w:w="160"/>
              <w:bottom w:type="dxa" w:w="120"/>
              <w:right w:type="dxa" w:w="160"/>
            </w:tcMar>
            <w:vAlign w:val="center"/>
          </w:tcPr>
          <w:p>
            <w:r>
              <w:rPr>
                <w:rFonts w:ascii="Calibri" w:cs="Calibri" w:eastAsia="Calibri" w:hAnsi="Calibri"/>
                <w:color w:val="333333"/>
                <w:sz w:val="21"/>
                <w:szCs w:val="21"/>
              </w:rPr>
              <w:t xml:space="preserve">A fraudulent payment link, fake collect request, or QR code is sent to the victim.</w:t>
            </w:r>
          </w:p>
        </w:tc>
      </w:tr>
      <w:tr>
        <w:tc>
          <w:tcPr>
            <w:tcW w:type="dxa" w:w="900"/>
            <w:tcBorders>
              <w:top w:val="single" w:color="FFFFFF" w:sz="1"/>
              <w:left w:val="single" w:color="FFFFFF" w:sz="1"/>
              <w:bottom w:val="single" w:color="FFFFFF" w:sz="1"/>
              <w:right w:val="single" w:color="FFFFFF" w:sz="1"/>
            </w:tcBorders>
            <w:shd w:fill="2E75B6"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04</w:t>
            </w:r>
          </w:p>
        </w:tc>
        <w:tc>
          <w:tcPr>
            <w:tcW w:type="dxa" w:w="2200"/>
            <w:tcBorders>
              <w:top w:val="single" w:color="DDDDDD" w:sz="1"/>
              <w:left w:val="single" w:color="DDDDDD" w:sz="1"/>
              <w:bottom w:val="single" w:color="DDDDDD" w:sz="1"/>
              <w:right w:val="single" w:color="DDDDDD" w:sz="1"/>
            </w:tcBorders>
            <w:shd w:fill="EAF6EE" w:val="clear"/>
            <w:tcMar>
              <w:top w:type="dxa" w:w="120"/>
              <w:left w:type="dxa" w:w="160"/>
              <w:bottom w:type="dxa" w:w="120"/>
              <w:right w:type="dxa" w:w="120"/>
            </w:tcMar>
            <w:vAlign w:val="center"/>
          </w:tcPr>
          <w:p>
            <w:r>
              <w:rPr>
                <w:rFonts w:ascii="Calibri" w:cs="Calibri" w:eastAsia="Calibri" w:hAnsi="Calibri"/>
                <w:b/>
                <w:bCs/>
                <w:color w:val="1A5C38"/>
                <w:sz w:val="22"/>
                <w:szCs w:val="22"/>
              </w:rPr>
              <w:t xml:space="preserve">Credential Extraction</w:t>
            </w:r>
          </w:p>
        </w:tc>
        <w:tc>
          <w:tcPr>
            <w:tcW w:type="dxa" w:w="6260"/>
            <w:tcBorders>
              <w:top w:val="single" w:color="DDDDDD" w:sz="1"/>
              <w:left w:val="single" w:color="DDDDDD" w:sz="1"/>
              <w:bottom w:val="single" w:color="DDDDDD" w:sz="1"/>
              <w:right w:val="single" w:color="DDDDDD" w:sz="1"/>
            </w:tcBorders>
            <w:shd w:fill="EAF6EE" w:val="clear"/>
            <w:tcMar>
              <w:top w:type="dxa" w:w="120"/>
              <w:left w:type="dxa" w:w="160"/>
              <w:bottom w:type="dxa" w:w="120"/>
              <w:right w:type="dxa" w:w="160"/>
            </w:tcMar>
            <w:vAlign w:val="center"/>
          </w:tcPr>
          <w:p>
            <w:r>
              <w:rPr>
                <w:rFonts w:ascii="Calibri" w:cs="Calibri" w:eastAsia="Calibri" w:hAnsi="Calibri"/>
                <w:color w:val="333333"/>
                <w:sz w:val="21"/>
                <w:szCs w:val="21"/>
              </w:rPr>
              <w:t xml:space="preserve">The victim is manipulated into entering their OTP or UPI PIN, unknowingly authorising an outgoing transfer.</w:t>
            </w:r>
          </w:p>
        </w:tc>
      </w:tr>
    </w:tbl>
    <w:p>
      <w:pPr>
        <w:spacing w:after="100"/>
      </w:pPr>
      <w:r>
        <w:t xml:space="preserve"/>
      </w:r>
    </w:p>
    <w:p>
      <w:pPr>
        <w:pBdr>
          <w:left w:val="single" w:color="1A3557" w:sz="24" w:space="8"/>
        </w:pBdr>
        <w:spacing w:before="260" w:after="120"/>
        <w:ind w:left="200"/>
      </w:pPr>
      <w:r>
        <w:rPr>
          <w:rFonts w:ascii="Calibri" w:cs="Calibri" w:eastAsia="Calibri" w:hAnsi="Calibri"/>
          <w:b/>
          <w:bCs/>
          <w:color w:val="1A3557"/>
          <w:sz w:val="26"/>
          <w:szCs w:val="26"/>
        </w:rPr>
        <w:t xml:space="preserve">4.  Common Targets &amp; Consequences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left w:val="none"/>
              <w:bottom w:val="single" w:color="DDDDDD" w:sz="1"/>
              <w:right w:val="none"/>
            </w:tcBorders>
            <w:shd w:fill="EEF4FB" w:val="clear"/>
            <w:tcMar>
              <w:top w:type="dxa" w:w="100"/>
              <w:left w:type="dxa" w:w="160"/>
              <w:bottom w:type="dxa" w:w="100"/>
              <w:right w:type="dxa" w:w="120"/>
            </w:tcMar>
          </w:tcPr>
          <w:p>
            <w:r>
              <w:rPr>
                <w:rFonts w:ascii="Calibri" w:cs="Calibri" w:eastAsia="Calibri" w:hAnsi="Calibri"/>
                <w:b/>
                <w:bCs/>
                <w:color w:val="1A3557"/>
                <w:sz w:val="21"/>
                <w:szCs w:val="21"/>
              </w:rPr>
              <w:t xml:space="preserve">Primary Targets</w:t>
            </w:r>
          </w:p>
        </w:tc>
        <w:tc>
          <w:tcPr>
            <w:tcW w:type="dxa" w:w="6560"/>
            <w:tcBorders>
              <w:top w:val="none"/>
              <w:left w:val="none"/>
              <w:bottom w:val="single" w:color="DDDDDD" w:sz="1"/>
              <w:right w:val="none"/>
            </w:tcBorders>
            <w:shd w:fill="EEF4FB" w:val="clear"/>
            <w:tcMar>
              <w:top w:type="dxa" w:w="100"/>
              <w:left w:type="dxa" w:w="160"/>
              <w:bottom w:type="dxa" w:w="100"/>
              <w:right w:type="dxa" w:w="160"/>
            </w:tcMar>
          </w:tcPr>
          <w:p>
            <w:r>
              <w:rPr>
                <w:rFonts w:ascii="Calibri" w:cs="Calibri" w:eastAsia="Calibri" w:hAnsi="Calibri"/>
                <w:color w:val="333333"/>
                <w:sz w:val="21"/>
                <w:szCs w:val="21"/>
              </w:rPr>
              <w:t xml:space="preserve">College students, senior citizens, and individuals with limited exposure to digital payment systems.</w:t>
            </w:r>
          </w:p>
        </w:tc>
      </w:tr>
      <w:tr>
        <w:tc>
          <w:tcPr>
            <w:tcW w:type="dxa" w:w="2800"/>
            <w:tcBorders>
              <w:top w:val="none"/>
              <w:left w:val="none"/>
              <w:bottom w:val="single" w:color="DDDDDD" w:sz="1"/>
              <w:right w:val="none"/>
            </w:tcBorders>
            <w:shd w:fill="FDF0F0" w:val="clear"/>
            <w:tcMar>
              <w:top w:type="dxa" w:w="100"/>
              <w:left w:type="dxa" w:w="160"/>
              <w:bottom w:type="dxa" w:w="100"/>
              <w:right w:type="dxa" w:w="120"/>
            </w:tcMar>
          </w:tcPr>
          <w:p>
            <w:r>
              <w:rPr>
                <w:rFonts w:ascii="Calibri" w:cs="Calibri" w:eastAsia="Calibri" w:hAnsi="Calibri"/>
                <w:b/>
                <w:bCs/>
                <w:color w:val="7B1A1A"/>
                <w:sz w:val="21"/>
                <w:szCs w:val="21"/>
              </w:rPr>
              <w:t xml:space="preserve">Financial Impact</w:t>
            </w:r>
          </w:p>
        </w:tc>
        <w:tc>
          <w:tcPr>
            <w:tcW w:type="dxa" w:w="6560"/>
            <w:tcBorders>
              <w:top w:val="none"/>
              <w:left w:val="none"/>
              <w:bottom w:val="single" w:color="DDDDDD" w:sz="1"/>
              <w:right w:val="none"/>
            </w:tcBorders>
            <w:shd w:fill="FDF0F0" w:val="clear"/>
            <w:tcMar>
              <w:top w:type="dxa" w:w="100"/>
              <w:left w:type="dxa" w:w="160"/>
              <w:bottom w:type="dxa" w:w="100"/>
              <w:right w:type="dxa" w:w="160"/>
            </w:tcMar>
          </w:tcPr>
          <w:p>
            <w:r>
              <w:rPr>
                <w:rFonts w:ascii="Calibri" w:cs="Calibri" w:eastAsia="Calibri" w:hAnsi="Calibri"/>
                <w:color w:val="333333"/>
                <w:sz w:val="21"/>
                <w:szCs w:val="21"/>
              </w:rPr>
              <w:t xml:space="preserve">Immediate monetary loss, often ranging from a few hundred to several thousands of rupees.</w:t>
            </w:r>
          </w:p>
        </w:tc>
      </w:tr>
      <w:tr>
        <w:tc>
          <w:tcPr>
            <w:tcW w:type="dxa" w:w="2800"/>
            <w:tcBorders>
              <w:top w:val="none"/>
              <w:left w:val="none"/>
              <w:bottom w:val="single" w:color="DDDDDD" w:sz="1"/>
              <w:right w:val="none"/>
            </w:tcBorders>
            <w:shd w:fill="FEF6EC" w:val="clear"/>
            <w:tcMar>
              <w:top w:type="dxa" w:w="100"/>
              <w:left w:type="dxa" w:w="160"/>
              <w:bottom w:type="dxa" w:w="100"/>
              <w:right w:type="dxa" w:w="120"/>
            </w:tcMar>
          </w:tcPr>
          <w:p>
            <w:r>
              <w:rPr>
                <w:rFonts w:ascii="Calibri" w:cs="Calibri" w:eastAsia="Calibri" w:hAnsi="Calibri"/>
                <w:b/>
                <w:bCs/>
                <w:color w:val="7A4200"/>
                <w:sz w:val="21"/>
                <w:szCs w:val="21"/>
              </w:rPr>
              <w:t xml:space="preserve">Psychological Impact</w:t>
            </w:r>
          </w:p>
        </w:tc>
        <w:tc>
          <w:tcPr>
            <w:tcW w:type="dxa" w:w="6560"/>
            <w:tcBorders>
              <w:top w:val="none"/>
              <w:left w:val="none"/>
              <w:bottom w:val="single" w:color="DDDDDD" w:sz="1"/>
              <w:right w:val="none"/>
            </w:tcBorders>
            <w:shd w:fill="FEF6EC" w:val="clear"/>
            <w:tcMar>
              <w:top w:type="dxa" w:w="100"/>
              <w:left w:type="dxa" w:w="160"/>
              <w:bottom w:type="dxa" w:w="100"/>
              <w:right w:type="dxa" w:w="160"/>
            </w:tcMar>
          </w:tcPr>
          <w:p>
            <w:r>
              <w:rPr>
                <w:rFonts w:ascii="Calibri" w:cs="Calibri" w:eastAsia="Calibri" w:hAnsi="Calibri"/>
                <w:color w:val="333333"/>
                <w:sz w:val="21"/>
                <w:szCs w:val="21"/>
              </w:rPr>
              <w:t xml:space="preserve">Significant emotional distress, anxiety, and a lasting erosion of confidence in digital platforms.</w:t>
            </w:r>
          </w:p>
        </w:tc>
      </w:tr>
      <w:tr>
        <w:tc>
          <w:tcPr>
            <w:tcW w:type="dxa" w:w="2800"/>
            <w:tcBorders>
              <w:top w:val="none"/>
              <w:left w:val="none"/>
              <w:bottom w:val="single" w:color="DDDDDD" w:sz="1"/>
              <w:right w:val="none"/>
            </w:tcBorders>
            <w:shd w:fill="EAF6EE" w:val="clear"/>
            <w:tcMar>
              <w:top w:type="dxa" w:w="100"/>
              <w:left w:type="dxa" w:w="160"/>
              <w:bottom w:type="dxa" w:w="100"/>
              <w:right w:type="dxa" w:w="120"/>
            </w:tcMar>
          </w:tcPr>
          <w:p>
            <w:r>
              <w:rPr>
                <w:rFonts w:ascii="Calibri" w:cs="Calibri" w:eastAsia="Calibri" w:hAnsi="Calibri"/>
                <w:b/>
                <w:bCs/>
                <w:color w:val="1A5C38"/>
                <w:sz w:val="21"/>
                <w:szCs w:val="21"/>
              </w:rPr>
              <w:t xml:space="preserve">Systemic Impact</w:t>
            </w:r>
          </w:p>
        </w:tc>
        <w:tc>
          <w:tcPr>
            <w:tcW w:type="dxa" w:w="6560"/>
            <w:tcBorders>
              <w:top w:val="none"/>
              <w:left w:val="none"/>
              <w:bottom w:val="single" w:color="DDDDDD" w:sz="1"/>
              <w:right w:val="none"/>
            </w:tcBorders>
            <w:shd w:fill="EAF6EE" w:val="clear"/>
            <w:tcMar>
              <w:top w:type="dxa" w:w="100"/>
              <w:left w:type="dxa" w:w="160"/>
              <w:bottom w:type="dxa" w:w="100"/>
              <w:right w:type="dxa" w:w="160"/>
            </w:tcMar>
          </w:tcPr>
          <w:p>
            <w:r>
              <w:rPr>
                <w:rFonts w:ascii="Calibri" w:cs="Calibri" w:eastAsia="Calibri" w:hAnsi="Calibri"/>
                <w:color w:val="333333"/>
                <w:sz w:val="21"/>
                <w:szCs w:val="21"/>
              </w:rPr>
              <w:t xml:space="preserve">Reduced public trust in digital payment infrastructure, hindering the broader adoption of fintech.</w:t>
            </w:r>
          </w:p>
        </w:tc>
      </w:tr>
    </w:tbl>
    <w:p>
      <w:pPr>
        <w:spacing w:after="100"/>
      </w:pPr>
      <w:r>
        <w:t xml:space="preserve"/>
      </w:r>
    </w:p>
    <w:p>
      <w:pPr>
        <w:pBdr>
          <w:left w:val="single" w:color="1A5C38" w:sz="24" w:space="8"/>
        </w:pBdr>
        <w:spacing w:before="260" w:after="120"/>
        <w:ind w:left="200"/>
      </w:pPr>
      <w:r>
        <w:rPr>
          <w:rFonts w:ascii="Calibri" w:cs="Calibri" w:eastAsia="Calibri" w:hAnsi="Calibri"/>
          <w:b/>
          <w:bCs/>
          <w:color w:val="1A5C38"/>
          <w:sz w:val="26"/>
          <w:szCs w:val="26"/>
        </w:rPr>
        <w:t xml:space="preserve">5.  Key Awareness Takeaway</w:t>
      </w:r>
    </w:p>
    <w:p>
      <w:pPr>
        <w:spacing w:after="200" w:line="340" w:lineRule="auto"/>
        <w:jc w:val="both"/>
      </w:pPr>
      <w:r>
        <w:rPr>
          <w:rFonts w:ascii="Calibri" w:cs="Calibri" w:eastAsia="Calibri" w:hAnsi="Calibri"/>
          <w:color w:val="2C2C2C"/>
          <w:sz w:val="22"/>
          <w:szCs w:val="22"/>
        </w:rPr>
        <w:t xml:space="preserve">This case powerfully underscores the critical importance of digital awareness among everyday users. The most effective defence against UPI fraud is not a technical safeguard — it is informed user behaviour. Every individual transacting online must internalise one fundamental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C38" w:sz="6"/>
              <w:left w:val="single" w:color="1A5C38" w:sz="6"/>
              <w:bottom w:val="single" w:color="1A5C38" w:sz="6"/>
              <w:right w:val="single" w:color="1A5C38" w:sz="6"/>
            </w:tcBorders>
            <w:shd w:fill="EAF6EE" w:val="clear"/>
            <w:tcMar>
              <w:top w:type="dxa" w:w="180"/>
              <w:left w:type="dxa" w:w="260"/>
              <w:bottom w:type="dxa" w:w="180"/>
              <w:right w:type="dxa" w:w="260"/>
            </w:tcMar>
          </w:tcPr>
          <w:p>
            <w:pPr>
              <w:jc w:val="center"/>
            </w:pPr>
            <w:r>
              <w:rPr>
                <w:rFonts w:ascii="Calibri" w:cs="Calibri" w:eastAsia="Calibri" w:hAnsi="Calibri"/>
                <w:b/>
                <w:bCs/>
                <w:color w:val="1A5C38"/>
                <w:sz w:val="24"/>
                <w:szCs w:val="24"/>
              </w:rPr>
              <w:t xml:space="preserve">🔐  Your UPI PIN is required only to SEND money — never to receive it.</w:t>
            </w:r>
          </w:p>
          <w:p>
            <w:pPr>
              <w:jc w:val="center"/>
            </w:pPr>
            <w:r>
              <w:rPr>
                <w:rFonts w:ascii="Calibri" w:cs="Calibri" w:eastAsia="Calibri" w:hAnsi="Calibri"/>
                <w:i/>
                <w:iCs/>
                <w:color w:val="444444"/>
                <w:sz w:val="21"/>
                <w:szCs w:val="21"/>
              </w:rPr>
              <w:t xml:space="preserve">Never share your UPI PIN, OTP, or banking details with anyone under any circumstances.</w:t>
            </w:r>
          </w:p>
        </w:tc>
      </w:tr>
    </w:tbl>
    <w:sectPr>
      <w:footerReference w:type="default" r:id="rId6"/>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7"/>
        <w:szCs w:val="17"/>
      </w:rPr>
      <w:t xml:space="preserve">Cybercrime Case Study  |  Digital Literacy — CSE0001  |  Page </w:t>
    </w:r>
    <w:r>
      <w:rPr>
        <w:rFonts w:ascii="Calibri" w:cs="Calibri" w:eastAsia="Calibri" w:hAnsi="Calibri"/>
        <w:b/>
        <w:bCs/>
        <w:color w:val="2E75B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2026-03-28T19:21:40.897Z</dcterms:created>
  <dcterms:modified xsi:type="dcterms:W3CDTF">2026-03-28T19:21:40.898Z</dcterms:modified>
</cp:coreProperties>
</file>

<file path=docProps/custom.xml><?xml version="1.0" encoding="utf-8"?>
<Properties xmlns="http://schemas.openxmlformats.org/officeDocument/2006/custom-properties" xmlns:vt="http://schemas.openxmlformats.org/officeDocument/2006/docPropsVTypes"/>
</file>