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557" w:sz="1"/>
              <w:left w:val="single" w:color="1A3557" w:sz="1"/>
              <w:bottom w:val="single" w:color="1A3557" w:sz="1"/>
              <w:right w:val="single" w:color="1A3557" w:sz="1"/>
            </w:tcBorders>
            <w:shd w:fill="1A3557" w:val="clear"/>
            <w:tcMar>
              <w:top w:type="dxa" w:w="280"/>
              <w:left w:type="dxa" w:w="360"/>
              <w:bottom w:type="dxa" w:w="280"/>
              <w:right w:type="dxa" w:w="360"/>
            </w:tcMar>
          </w:tcPr>
          <w:p>
            <w:pPr>
              <w:spacing w:after="60"/>
              <w:jc w:val="center"/>
            </w:pPr>
            <w:r>
              <w:rPr>
                <w:rFonts w:ascii="Calibri" w:cs="Calibri" w:eastAsia="Calibri" w:hAnsi="Calibri"/>
                <w:b/>
                <w:bCs/>
                <w:color w:val="FFFFFF"/>
                <w:sz w:val="72"/>
                <w:szCs w:val="72"/>
              </w:rPr>
              <w:t xml:space="preserve">PROJECT REPORT</w:t>
            </w:r>
          </w:p>
          <w:p>
            <w:pPr>
              <w:jc w:val="center"/>
            </w:pPr>
            <w:r>
              <w:rPr>
                <w:rFonts w:ascii="Calibri" w:cs="Calibri" w:eastAsia="Calibri" w:hAnsi="Calibri"/>
                <w:i/>
                <w:iCs/>
                <w:color w:val="BDD7EE"/>
                <w:sz w:val="26"/>
                <w:szCs w:val="26"/>
              </w:rPr>
              <w:t xml:space="preserve">Student Digital Ambassador — Digital Literacy Skills Portfolio</w:t>
            </w:r>
          </w:p>
        </w:tc>
      </w:tr>
    </w:tbl>
    <w:p>
      <w:pPr>
        <w:spacing w:after="1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none"/>
              <w:bottom w:val="single" w:color="2E75B6" w:sz="4"/>
              <w:right w:val="none"/>
            </w:tcBorders>
            <w:shd w:fill="D6E4F7" w:val="clear"/>
            <w:tcMar>
              <w:top w:type="dxa" w:w="130"/>
              <w:left w:type="dxa" w:w="260"/>
              <w:bottom w:type="dxa" w:w="130"/>
              <w:right w:type="dxa" w:w="260"/>
            </w:tcMar>
          </w:tcPr>
          <w:p>
            <w:pPr>
              <w:jc w:val="center"/>
            </w:pPr>
            <w:r>
              <w:rPr>
                <w:rFonts w:ascii="Calibri" w:cs="Calibri" w:eastAsia="Calibri" w:hAnsi="Calibri"/>
                <w:b/>
                <w:bCs/>
                <w:color w:val="1A3557"/>
                <w:sz w:val="23"/>
                <w:szCs w:val="23"/>
              </w:rPr>
              <w:t xml:space="preserve">Name: </w:t>
            </w:r>
            <w:r>
              <w:rPr>
                <w:rFonts w:ascii="Calibri" w:cs="Calibri" w:eastAsia="Calibri" w:hAnsi="Calibri"/>
                <w:color w:val="222222"/>
                <w:sz w:val="23"/>
                <w:szCs w:val="23"/>
              </w:rPr>
              <w:t xml:space="preserve">Prastut Mahtha</w:t>
            </w:r>
            <w:r>
              <w:rPr>
                <w:rFonts w:ascii="Calibri" w:cs="Calibri" w:eastAsia="Calibri" w:hAnsi="Calibri"/>
                <w:color w:val="BBBBBB"/>
                <w:sz w:val="23"/>
                <w:szCs w:val="23"/>
              </w:rPr>
              <w:t xml:space="preserve">     |     </w:t>
            </w:r>
            <w:r>
              <w:rPr>
                <w:rFonts w:ascii="Calibri" w:cs="Calibri" w:eastAsia="Calibri" w:hAnsi="Calibri"/>
                <w:b/>
                <w:bCs/>
                <w:color w:val="1A3557"/>
                <w:sz w:val="23"/>
                <w:szCs w:val="23"/>
              </w:rPr>
              <w:t xml:space="preserve">Registration No.: </w:t>
            </w:r>
            <w:r>
              <w:rPr>
                <w:rFonts w:ascii="Calibri" w:cs="Calibri" w:eastAsia="Calibri" w:hAnsi="Calibri"/>
                <w:color w:val="222222"/>
                <w:sz w:val="23"/>
                <w:szCs w:val="23"/>
              </w:rPr>
              <w:t xml:space="preserve">25BAI11044</w:t>
            </w:r>
            <w:r>
              <w:rPr>
                <w:rFonts w:ascii="Calibri" w:cs="Calibri" w:eastAsia="Calibri" w:hAnsi="Calibri"/>
                <w:color w:val="BBBBBB"/>
                <w:sz w:val="23"/>
                <w:szCs w:val="23"/>
              </w:rPr>
              <w:t xml:space="preserve">     |     </w:t>
            </w:r>
            <w:r>
              <w:rPr>
                <w:rFonts w:ascii="Calibri" w:cs="Calibri" w:eastAsia="Calibri" w:hAnsi="Calibri"/>
                <w:b/>
                <w:bCs/>
                <w:color w:val="1A3557"/>
                <w:sz w:val="23"/>
                <w:szCs w:val="23"/>
              </w:rPr>
              <w:t xml:space="preserve">Branch: </w:t>
            </w:r>
            <w:r>
              <w:rPr>
                <w:rFonts w:ascii="Calibri" w:cs="Calibri" w:eastAsia="Calibri" w:hAnsi="Calibri"/>
                <w:color w:val="222222"/>
                <w:sz w:val="23"/>
                <w:szCs w:val="23"/>
              </w:rPr>
              <w:t xml:space="preserve">CSE (AI &amp; ML)     |     </w:t>
            </w:r>
            <w:r>
              <w:rPr>
                <w:rFonts w:ascii="Calibri" w:cs="Calibri" w:eastAsia="Calibri" w:hAnsi="Calibri"/>
                <w:b/>
                <w:bCs/>
                <w:color w:val="1A3557"/>
                <w:sz w:val="23"/>
                <w:szCs w:val="23"/>
              </w:rPr>
              <w:t xml:space="preserve">Course Code: </w:t>
            </w:r>
            <w:r>
              <w:rPr>
                <w:rFonts w:ascii="Calibri" w:cs="Calibri" w:eastAsia="Calibri" w:hAnsi="Calibri"/>
                <w:color w:val="222222"/>
                <w:sz w:val="23"/>
                <w:szCs w:val="23"/>
              </w:rPr>
              <w:t xml:space="preserve">CSE0001</w:t>
            </w:r>
          </w:p>
        </w:tc>
      </w:tr>
    </w:tbl>
    <w:p>
      <w:pPr>
        <w:spacing w:after="260"/>
      </w:pPr>
      <w:r>
        <w:t xml:space="preserve"/>
      </w:r>
    </w:p>
    <w:p>
      <w:pPr>
        <w:pStyle w:val="Heading1"/>
        <w:pBdr>
          <w:bottom w:val="single" w:color="2E75B6" w:sz="6" w:space="4"/>
        </w:pBdr>
        <w:spacing w:before="320" w:after="160"/>
      </w:pPr>
      <w:r>
        <w:rPr>
          <w:rFonts w:ascii="Calibri" w:cs="Calibri" w:eastAsia="Calibri" w:hAnsi="Calibri"/>
          <w:b/>
          <w:bCs/>
          <w:color w:val="1A3557"/>
          <w:sz w:val="34"/>
          <w:szCs w:val="34"/>
        </w:rPr>
        <w:t xml:space="preserve">Table of Contents</w:t>
      </w:r>
    </w:p>
    <w:sdt>
      <w:sdtPr>
        <w:alias w:val="Table of Contents"/>
      </w:sdtPr>
      <w:sdtContent>
        <w:p>
          <w:r>
            <w:fldChar w:fldCharType="begin" w:dirty="true"/>
            <w:instrText xml:space="preserve">TOC \h \o "1-2" \t "undefined,1,undefined,2"</w:instrText>
            <w:fldChar w:fldCharType="separate"/>
          </w:r>
        </w:p>
        <w:p>
          <w:r>
            <w:fldChar w:fldCharType="end"/>
          </w:r>
        </w:p>
      </w:sdtContent>
    </w:sdt>
    <w:p>
      <w:r>
        <w:br/>
      </w:r>
    </w:p>
    <w:p>
      <w:pPr>
        <w:pStyle w:val="Heading1"/>
        <w:pBdr>
          <w:bottom w:val="single" w:color="2E75B6" w:sz="6" w:space="4"/>
        </w:pBdr>
        <w:spacing w:before="320" w:after="160"/>
      </w:pPr>
      <w:r>
        <w:rPr>
          <w:rFonts w:ascii="Calibri" w:cs="Calibri" w:eastAsia="Calibri" w:hAnsi="Calibri"/>
          <w:b/>
          <w:bCs/>
          <w:color w:val="1A3557"/>
          <w:sz w:val="34"/>
          <w:szCs w:val="34"/>
        </w:rPr>
        <w:t xml:space="preserve">Introduction</w:t>
      </w:r>
    </w:p>
    <w:p>
      <w:pPr>
        <w:spacing w:after="180" w:line="340" w:lineRule="auto"/>
        <w:jc w:val="both"/>
      </w:pPr>
      <w:r>
        <w:rPr>
          <w:rFonts w:ascii="Calibri" w:cs="Calibri" w:eastAsia="Calibri" w:hAnsi="Calibri"/>
          <w:color w:val="2C2C2C"/>
          <w:sz w:val="22"/>
          <w:szCs w:val="22"/>
        </w:rPr>
        <w:t xml:space="preserve">In an increasingly digitised academic and professional landscape, the cultivation of robust digital literacy skills has become a prerequisite for student success. This project was developed under the premise of serving as a 'Student Digital Ambassador' — a role that entails guiding peers in the effective use of digital tools, establishing a credible professional online presence, and navigating the digital environment with awareness and responsibility.</w:t>
      </w:r>
    </w:p>
    <w:p>
      <w:pPr>
        <w:spacing w:after="180" w:line="340" w:lineRule="auto"/>
        <w:jc w:val="both"/>
      </w:pPr>
      <w:r>
        <w:rPr>
          <w:rFonts w:ascii="Calibri" w:cs="Calibri" w:eastAsia="Calibri" w:hAnsi="Calibri"/>
          <w:color w:val="2C2C2C"/>
          <w:sz w:val="22"/>
          <w:szCs w:val="22"/>
        </w:rPr>
        <w:t xml:space="preserve">The project is structured across five distinct modules, each addressing a critical dimension of digital literacy: creating informational awareness content, building a professional digital portfolio, exploring coding and collaboration platforms, practising formal electronic communication, and developing a comprehensive understanding of cybercrime threats and their prevention strategies.</w:t>
      </w:r>
    </w:p>
    <w:p>
      <w:pPr>
        <w:spacing w:after="180" w:line="340" w:lineRule="auto"/>
        <w:jc w:val="both"/>
      </w:pPr>
      <w:r>
        <w:rPr>
          <w:rFonts w:ascii="Calibri" w:cs="Calibri" w:eastAsia="Calibri" w:hAnsi="Calibri"/>
          <w:color w:val="2C2C2C"/>
          <w:sz w:val="22"/>
          <w:szCs w:val="22"/>
        </w:rPr>
        <w:t xml:space="preserve">Through the completion of these modules, practical experience was gained across a range of digital platforms, communication skills were refined, and meaningful insights into online safety were developed. Each activity was designed to mirror real-world scenarios that students routinely encounter — from curating digital profiles to drafting professional correspondence and managing cyber risks. Collectively, this project offers a thorough grounding in the digital competencies essential for responsible and effective participation in the modern world.</w:t>
      </w:r>
    </w:p>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2E75B6" w:sz="28"/>
              <w:bottom w:val="none"/>
              <w:right w:val="none"/>
            </w:tcBorders>
            <w:shd w:fill="EEF4FB" w:val="clear"/>
            <w:tcMar>
              <w:top w:type="dxa" w:w="120"/>
              <w:left w:type="dxa" w:w="220"/>
              <w:bottom w:type="dxa" w:w="120"/>
              <w:right w:type="dxa" w:w="220"/>
            </w:tcMar>
          </w:tcPr>
          <w:p>
            <w:pPr>
              <w:spacing w:after="0"/>
            </w:pPr>
            <w:r>
              <w:rPr>
                <w:rFonts w:ascii="Calibri" w:cs="Calibri" w:eastAsia="Calibri" w:hAnsi="Calibri"/>
                <w:b/>
                <w:bCs/>
                <w:color w:val="2E75B6"/>
                <w:sz w:val="24"/>
                <w:szCs w:val="24"/>
              </w:rPr>
              <w:t xml:space="preserve">Task 01  </w:t>
            </w:r>
            <w:r>
              <w:rPr>
                <w:rFonts w:ascii="Calibri" w:cs="Calibri" w:eastAsia="Calibri" w:hAnsi="Calibri"/>
                <w:b/>
                <w:bCs/>
                <w:color w:val="1A3557"/>
                <w:sz w:val="24"/>
                <w:szCs w:val="24"/>
              </w:rPr>
              <w:t xml:space="preserve">Digital Literacy Awareness Infographic</w:t>
            </w:r>
          </w:p>
        </w:tc>
      </w:tr>
    </w:tbl>
    <w:p>
      <w:pPr>
        <w:spacing w:after="120"/>
      </w:pPr>
      <w:r>
        <w:t xml:space="preserve"/>
      </w:r>
    </w:p>
    <w:p>
      <w:pPr>
        <w:spacing w:after="180" w:line="340" w:lineRule="auto"/>
        <w:jc w:val="both"/>
      </w:pPr>
      <w:r>
        <w:rPr>
          <w:rFonts w:ascii="Calibri" w:cs="Calibri" w:eastAsia="Calibri" w:hAnsi="Calibri"/>
          <w:color w:val="2C2C2C"/>
          <w:sz w:val="22"/>
          <w:szCs w:val="22"/>
        </w:rPr>
        <w:t xml:space="preserve">An infographic was designed using Canva, a versatile and widely accessible web-based design application. The output was a single-page visual document intended to communicate the concept of digital literacy and its significance for students in a clear and engaging format.</w:t>
      </w:r>
    </w:p>
    <w:p>
      <w:pPr>
        <w:spacing w:after="180" w:line="340" w:lineRule="auto"/>
        <w:jc w:val="both"/>
      </w:pPr>
      <w:r>
        <w:rPr>
          <w:rFonts w:ascii="Calibri" w:cs="Calibri" w:eastAsia="Calibri" w:hAnsi="Calibri"/>
          <w:color w:val="2C2C2C"/>
          <w:sz w:val="22"/>
          <w:szCs w:val="22"/>
        </w:rPr>
        <w:t xml:space="preserve">The infographic incorporated several key thematic areas: a concise definition of digital literacy, an overview of practical digital tools commonly used in academic settings such as Google Docs and online collaboration platforms, and guidelines for safe online conduct including the use of strong passwords and the avoidance of unverified links. Additional content addressed the importance of maintaining a professional online presence and observing appropriate email communication standards.</w:t>
      </w:r>
    </w:p>
    <w:p>
      <w:pPr>
        <w:spacing w:after="180" w:line="340" w:lineRule="auto"/>
        <w:jc w:val="both"/>
      </w:pPr>
      <w:r>
        <w:rPr>
          <w:rFonts w:ascii="Calibri" w:cs="Calibri" w:eastAsia="Calibri" w:hAnsi="Calibri"/>
          <w:color w:val="2C2C2C"/>
          <w:sz w:val="22"/>
          <w:szCs w:val="22"/>
        </w:rPr>
        <w:t xml:space="preserve">The design prioritised clarity, employing simple iconography, structured headings, and concise bullet points to ensure accessibility and visual appeal. A particularly instructive aspect of this task was the challenge of conveying information visually rather than through conventional paragraphs — a discipline that required careful balance between aesthetic design and informational density. This activity meaningfully advanced both digital design capabilities and overall understanding of digital literacy principles.</w:t>
      </w:r>
    </w:p>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A5C38" w:sz="28"/>
              <w:bottom w:val="none"/>
              <w:right w:val="none"/>
            </w:tcBorders>
            <w:shd w:fill="EAF6EE" w:val="clear"/>
            <w:tcMar>
              <w:top w:type="dxa" w:w="120"/>
              <w:left w:type="dxa" w:w="220"/>
              <w:bottom w:type="dxa" w:w="120"/>
              <w:right w:type="dxa" w:w="220"/>
            </w:tcMar>
          </w:tcPr>
          <w:p>
            <w:pPr>
              <w:spacing w:after="0"/>
            </w:pPr>
            <w:r>
              <w:rPr>
                <w:rFonts w:ascii="Calibri" w:cs="Calibri" w:eastAsia="Calibri" w:hAnsi="Calibri"/>
                <w:b/>
                <w:bCs/>
                <w:color w:val="1A5C38"/>
                <w:sz w:val="24"/>
                <w:szCs w:val="24"/>
              </w:rPr>
              <w:t xml:space="preserve">Task 02  </w:t>
            </w:r>
            <w:r>
              <w:rPr>
                <w:rFonts w:ascii="Calibri" w:cs="Calibri" w:eastAsia="Calibri" w:hAnsi="Calibri"/>
                <w:b/>
                <w:bCs/>
                <w:color w:val="1A3557"/>
                <w:sz w:val="24"/>
                <w:szCs w:val="24"/>
              </w:rPr>
              <w:t xml:space="preserve">Building a Student Digital Portfolio</w:t>
            </w:r>
          </w:p>
        </w:tc>
      </w:tr>
    </w:tbl>
    <w:p>
      <w:pPr>
        <w:spacing w:after="120"/>
      </w:pPr>
      <w:r>
        <w:t xml:space="preserve"/>
      </w:r>
    </w:p>
    <w:p>
      <w:pPr>
        <w:spacing w:after="180" w:line="340" w:lineRule="auto"/>
        <w:jc w:val="both"/>
      </w:pPr>
      <w:r>
        <w:rPr>
          <w:rFonts w:ascii="Calibri" w:cs="Calibri" w:eastAsia="Calibri" w:hAnsi="Calibri"/>
          <w:color w:val="2C2C2C"/>
          <w:sz w:val="22"/>
          <w:szCs w:val="22"/>
        </w:rPr>
        <w:t xml:space="preserve">A professional digital portfolio was established through the creation of profiles across three prominent platforms: GitHub, LinkedIn, and Kaggle.</w:t>
      </w:r>
    </w:p>
    <w:p>
      <w:pPr>
        <w:pStyle w:val="ListParagraph"/>
        <w:numPr>
          <w:ilvl w:val="0"/>
          <w:numId w:val="2"/>
        </w:numPr>
        <w:spacing w:after="100"/>
      </w:pPr>
      <w:r>
        <w:rPr>
          <w:rFonts w:ascii="Calibri" w:cs="Calibri" w:eastAsia="Calibri" w:hAnsi="Calibri"/>
          <w:color w:val="2C2C2C"/>
          <w:sz w:val="22"/>
          <w:szCs w:val="22"/>
        </w:rPr>
        <w:t xml:space="preserve">GitHub was utilised as the primary repository for storing and showcasing coding projects. A personalised profile README was created to provide an introduction covering academic background, technical skills, and learning goals.</w:t>
      </w:r>
    </w:p>
    <w:p>
      <w:pPr>
        <w:pStyle w:val="ListParagraph"/>
        <w:numPr>
          <w:ilvl w:val="0"/>
          <w:numId w:val="2"/>
        </w:numPr>
        <w:spacing w:after="100"/>
      </w:pPr>
      <w:r>
        <w:rPr>
          <w:rFonts w:ascii="Calibri" w:cs="Calibri" w:eastAsia="Calibri" w:hAnsi="Calibri"/>
          <w:color w:val="2C2C2C"/>
          <w:sz w:val="22"/>
          <w:szCs w:val="22"/>
        </w:rPr>
        <w:t xml:space="preserve">LinkedIn was configured as the professional networking hub, incorporating educational qualifications, certifications, and relevant achievements. This platform will serve as the primary channel for connecting with industry professionals and exploring internship and career opportunities.</w:t>
      </w:r>
    </w:p>
    <w:p>
      <w:pPr>
        <w:pStyle w:val="ListParagraph"/>
        <w:numPr>
          <w:ilvl w:val="0"/>
          <w:numId w:val="2"/>
        </w:numPr>
        <w:spacing w:after="100"/>
      </w:pPr>
      <w:r>
        <w:rPr>
          <w:rFonts w:ascii="Calibri" w:cs="Calibri" w:eastAsia="Calibri" w:hAnsi="Calibri"/>
          <w:color w:val="2C2C2C"/>
          <w:sz w:val="22"/>
          <w:szCs w:val="22"/>
        </w:rPr>
        <w:t xml:space="preserve">Kaggle was identified as the preferred environment for developing expertise in data science and machine learning, with plans to engage with datasets, participate in competitions, and progressively strengthen analytical capabilities.</w:t>
      </w:r>
    </w:p>
    <w:p>
      <w:pPr>
        <w:spacing w:after="60"/>
      </w:pPr>
      <w:r>
        <w:t xml:space="preserve"/>
      </w:r>
    </w:p>
    <w:p>
      <w:pPr>
        <w:spacing w:after="180" w:line="340" w:lineRule="auto"/>
        <w:jc w:val="both"/>
      </w:pPr>
      <w:r>
        <w:rPr>
          <w:rFonts w:ascii="Calibri" w:cs="Calibri" w:eastAsia="Calibri" w:hAnsi="Calibri"/>
          <w:color w:val="2C2C2C"/>
          <w:sz w:val="22"/>
          <w:szCs w:val="22"/>
        </w:rPr>
        <w:t xml:space="preserve">Over the course of the programme, GitHub will be used to maintain a consistent record of coding projects and version-controlled contributions. LinkedIn will be leveraged to expand the professional network and remain informed of industry developments. On Kaggle, the focus will be placed on building applied competencies in data analytics and machine learning. This task reinforced the importance of a purposeful and well-maintained professional digital presence.</w:t>
      </w:r>
    </w:p>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B8860B" w:sz="28"/>
              <w:bottom w:val="none"/>
              <w:right w:val="none"/>
            </w:tcBorders>
            <w:shd w:fill="FEF6EC" w:val="clear"/>
            <w:tcMar>
              <w:top w:type="dxa" w:w="120"/>
              <w:left w:type="dxa" w:w="220"/>
              <w:bottom w:type="dxa" w:w="120"/>
              <w:right w:type="dxa" w:w="220"/>
            </w:tcMar>
          </w:tcPr>
          <w:p>
            <w:pPr>
              <w:spacing w:after="0"/>
            </w:pPr>
            <w:r>
              <w:rPr>
                <w:rFonts w:ascii="Calibri" w:cs="Calibri" w:eastAsia="Calibri" w:hAnsi="Calibri"/>
                <w:b/>
                <w:bCs/>
                <w:color w:val="B8860B"/>
                <w:sz w:val="24"/>
                <w:szCs w:val="24"/>
              </w:rPr>
              <w:t xml:space="preserve">Task 03  </w:t>
            </w:r>
            <w:r>
              <w:rPr>
                <w:rFonts w:ascii="Calibri" w:cs="Calibri" w:eastAsia="Calibri" w:hAnsi="Calibri"/>
                <w:b/>
                <w:bCs/>
                <w:color w:val="1A3557"/>
                <w:sz w:val="24"/>
                <w:szCs w:val="24"/>
              </w:rPr>
              <w:t xml:space="preserve">Exploring Coding and Collaboration Platforms</w:t>
            </w:r>
          </w:p>
        </w:tc>
      </w:tr>
    </w:tbl>
    <w:p>
      <w:pPr>
        <w:spacing w:after="120"/>
      </w:pPr>
      <w:r>
        <w:t xml:space="preserve"/>
      </w:r>
    </w:p>
    <w:p>
      <w:pPr>
        <w:spacing w:after="180" w:line="340" w:lineRule="auto"/>
        <w:jc w:val="both"/>
      </w:pPr>
      <w:r>
        <w:rPr>
          <w:rFonts w:ascii="Calibri" w:cs="Calibri" w:eastAsia="Calibri" w:hAnsi="Calibri"/>
          <w:color w:val="2C2C2C"/>
          <w:sz w:val="22"/>
          <w:szCs w:val="22"/>
        </w:rPr>
        <w:t xml:space="preserve">This module involved the exploration of both programming practice platforms and collaborative productivity tools. An account was created on HackerRank, and an introductory challenge — 'Solve Me First' — was successfully completed. This exercise provided an initial understanding of how structured coding platforms function and facilitated the practice of fundamental programming logic. Such platforms are particularly valuable for developing problem-solving skills and preparing for technical assessments and interviews.</w:t>
      </w:r>
    </w:p>
    <w:p>
      <w:pPr>
        <w:spacing w:after="180" w:line="340" w:lineRule="auto"/>
        <w:jc w:val="both"/>
      </w:pPr>
      <w:r>
        <w:rPr>
          <w:rFonts w:ascii="Calibri" w:cs="Calibri" w:eastAsia="Calibri" w:hAnsi="Calibri"/>
          <w:color w:val="2C2C2C"/>
          <w:sz w:val="22"/>
          <w:szCs w:val="22"/>
        </w:rPr>
        <w:t xml:space="preserve">In parallel, Google Forms was used to design a Digital Literacy Awareness Quiz for distribution among batch mates. The quiz comprised five questions spanning multiple-choice and short-answer formats. Responses were integrated with Google Sheets, enabling automated collection and structured organisation of data in real time.</w:t>
      </w:r>
    </w:p>
    <w:p>
      <w:pPr>
        <w:spacing w:after="180" w:line="340" w:lineRule="auto"/>
        <w:jc w:val="both"/>
      </w:pPr>
      <w:r>
        <w:rPr>
          <w:rFonts w:ascii="Calibri" w:cs="Calibri" w:eastAsia="Calibri" w:hAnsi="Calibri"/>
          <w:color w:val="2C2C2C"/>
          <w:sz w:val="22"/>
          <w:szCs w:val="22"/>
        </w:rPr>
        <w:t xml:space="preserve">These tools offer significant academic value: coding platforms provide a disciplined environment for consistent practice and skill development, while Google Workspace applications facilitate seamless collaboration, efficient survey design, and systematic information management.</w:t>
      </w:r>
    </w:p>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7B1A1A" w:sz="28"/>
              <w:bottom w:val="none"/>
              <w:right w:val="none"/>
            </w:tcBorders>
            <w:shd w:fill="FDF0F0" w:val="clear"/>
            <w:tcMar>
              <w:top w:type="dxa" w:w="120"/>
              <w:left w:type="dxa" w:w="220"/>
              <w:bottom w:type="dxa" w:w="120"/>
              <w:right w:type="dxa" w:w="220"/>
            </w:tcMar>
          </w:tcPr>
          <w:p>
            <w:pPr>
              <w:spacing w:after="0"/>
            </w:pPr>
            <w:r>
              <w:rPr>
                <w:rFonts w:ascii="Calibri" w:cs="Calibri" w:eastAsia="Calibri" w:hAnsi="Calibri"/>
                <w:b/>
                <w:bCs/>
                <w:color w:val="7B1A1A"/>
                <w:sz w:val="24"/>
                <w:szCs w:val="24"/>
              </w:rPr>
              <w:t xml:space="preserve">Task 04  </w:t>
            </w:r>
            <w:r>
              <w:rPr>
                <w:rFonts w:ascii="Calibri" w:cs="Calibri" w:eastAsia="Calibri" w:hAnsi="Calibri"/>
                <w:b/>
                <w:bCs/>
                <w:color w:val="1A3557"/>
                <w:sz w:val="24"/>
                <w:szCs w:val="24"/>
              </w:rPr>
              <w:t xml:space="preserve">Professional Email Communication &amp; Digital Etiquette</w:t>
            </w:r>
          </w:p>
        </w:tc>
      </w:tr>
    </w:tbl>
    <w:p>
      <w:pPr>
        <w:spacing w:after="120"/>
      </w:pPr>
      <w:r>
        <w:t xml:space="preserve"/>
      </w:r>
    </w:p>
    <w:p>
      <w:pPr>
        <w:spacing w:after="180" w:line="340" w:lineRule="auto"/>
        <w:jc w:val="both"/>
      </w:pPr>
      <w:r>
        <w:rPr>
          <w:rFonts w:ascii="Calibri" w:cs="Calibri" w:eastAsia="Calibri" w:hAnsi="Calibri"/>
          <w:color w:val="2C2C2C"/>
          <w:sz w:val="22"/>
          <w:szCs w:val="22"/>
        </w:rPr>
        <w:t xml:space="preserve">Inadequate digital communication can yield significant misunderstandings and adverse outcomes in academic and professional settings. A pertinent example involves a student who submitted an email to a faculty member devoid of a subject line, a proper salutation, or an appropriate tone. The message was consequently perceived as discourteous, resulting in the email being disregarded and the student missing a critical deadline.</w:t>
      </w:r>
    </w:p>
    <w:p>
      <w:pPr>
        <w:spacing w:after="180" w:line="340" w:lineRule="auto"/>
        <w:jc w:val="both"/>
      </w:pPr>
      <w:r>
        <w:rPr>
          <w:rFonts w:ascii="Calibri" w:cs="Calibri" w:eastAsia="Calibri" w:hAnsi="Calibri"/>
          <w:color w:val="2C2C2C"/>
          <w:sz w:val="22"/>
          <w:szCs w:val="22"/>
        </w:rPr>
        <w:t xml:space="preserve">This situation could have been effectively averted through adherence to standard email etiquette. A well-structured message would have included a descriptive subject line, a respectful and contextually appropriate greeting, a clearly articulated purpose, and a professional closing. Such attention to communication standards would have not only conveyed the message more effectively but also demonstrated professionalism and respect — qualities that are indispensable in academic and career environments where credibility and clarity are paramount.</w:t>
      </w:r>
    </w:p>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A3557" w:sz="28"/>
              <w:bottom w:val="none"/>
              <w:right w:val="none"/>
            </w:tcBorders>
            <w:shd w:fill="F4F8FD" w:val="clear"/>
            <w:tcMar>
              <w:top w:type="dxa" w:w="120"/>
              <w:left w:type="dxa" w:w="220"/>
              <w:bottom w:type="dxa" w:w="120"/>
              <w:right w:type="dxa" w:w="220"/>
            </w:tcMar>
          </w:tcPr>
          <w:p>
            <w:pPr>
              <w:spacing w:after="0"/>
            </w:pPr>
            <w:r>
              <w:rPr>
                <w:rFonts w:ascii="Calibri" w:cs="Calibri" w:eastAsia="Calibri" w:hAnsi="Calibri"/>
                <w:b/>
                <w:bCs/>
                <w:color w:val="1A3557"/>
                <w:sz w:val="24"/>
                <w:szCs w:val="24"/>
              </w:rPr>
              <w:t xml:space="preserve">Task 05  </w:t>
            </w:r>
            <w:r>
              <w:rPr>
                <w:rFonts w:ascii="Calibri" w:cs="Calibri" w:eastAsia="Calibri" w:hAnsi="Calibri"/>
                <w:b/>
                <w:bCs/>
                <w:color w:val="1A3557"/>
                <w:sz w:val="24"/>
                <w:szCs w:val="24"/>
              </w:rPr>
              <w:t xml:space="preserve">Cybercrime Awareness — Case Study &amp; Prevention Guide</w:t>
            </w:r>
          </w:p>
        </w:tc>
      </w:tr>
    </w:tbl>
    <w:p>
      <w:pPr>
        <w:spacing w:after="120"/>
      </w:pPr>
      <w:r>
        <w:t xml:space="preserve"/>
      </w:r>
    </w:p>
    <w:p>
      <w:pPr>
        <w:spacing w:after="180" w:line="340" w:lineRule="auto"/>
        <w:jc w:val="both"/>
      </w:pPr>
      <w:r>
        <w:rPr>
          <w:rFonts w:ascii="Calibri" w:cs="Calibri" w:eastAsia="Calibri" w:hAnsi="Calibri"/>
          <w:color w:val="2C2C2C"/>
          <w:sz w:val="22"/>
          <w:szCs w:val="22"/>
        </w:rPr>
        <w:t xml:space="preserve">True digital literacy in the contemporary world extends substantially beyond the operational use of technology. While many students — including the author — demonstrate comfort with tools such as presentation software, collaborative platforms, and social and professional profiles, this case study illuminates a critical distinction: familiarity with digital tools does not inherently constitute genuine digital understanding.</w:t>
      </w:r>
    </w:p>
    <w:p>
      <w:pPr>
        <w:spacing w:after="180" w:line="340" w:lineRule="auto"/>
        <w:jc w:val="both"/>
      </w:pPr>
      <w:r>
        <w:rPr>
          <w:rFonts w:ascii="Calibri" w:cs="Calibri" w:eastAsia="Calibri" w:hAnsi="Calibri"/>
          <w:color w:val="2C2C2C"/>
          <w:sz w:val="22"/>
          <w:szCs w:val="22"/>
        </w:rPr>
        <w:t xml:space="preserve">A substantial divergence exists between using technology efficiently and using it responsibly. Students frequently concentrate on producing visually polished outputs or maintaining a compelling online presence, often without adequately considering dimensions such as intellectual authenticity, ethical conduct, data privacy, and the long-term implications of their digital actions. This creates an illusion of competence in which presentation is prioritised over substantive knowledge.</w:t>
      </w:r>
    </w:p>
    <w:p>
      <w:pPr>
        <w:spacing w:after="180" w:line="340" w:lineRule="auto"/>
        <w:jc w:val="both"/>
      </w:pPr>
      <w:r>
        <w:rPr>
          <w:rFonts w:ascii="Calibri" w:cs="Calibri" w:eastAsia="Calibri" w:hAnsi="Calibri"/>
          <w:color w:val="2C2C2C"/>
          <w:sz w:val="22"/>
          <w:szCs w:val="22"/>
        </w:rPr>
        <w:t xml:space="preserve">Furthermore, the convenience afforded by digital platforms can inadvertently diminish critical thinking and reduce accountability, particularly in collaborative work environments. The case also illustrated how minor lapses in communication or online behaviour — such as clicking unverified links or sharing sensitive credentials — can escalate into significant consequences. The overarching conclusion drawn from this study is that authentic digital literacy necessitates awareness, reflective judgement, and ethical decision-making, not merely technical proficiency.</w:t>
      </w:r>
    </w:p>
    <w:p>
      <w:pPr>
        <w:spacing w:after="100"/>
      </w:pPr>
      <w:r>
        <w:t xml:space="preserve"/>
      </w:r>
    </w:p>
    <w:p>
      <w:pPr>
        <w:pStyle w:val="Heading1"/>
        <w:pBdr>
          <w:bottom w:val="single" w:color="2E75B6" w:sz="6" w:space="4"/>
        </w:pBdr>
        <w:spacing w:before="320" w:after="160"/>
      </w:pPr>
      <w:r>
        <w:rPr>
          <w:rFonts w:ascii="Calibri" w:cs="Calibri" w:eastAsia="Calibri" w:hAnsi="Calibri"/>
          <w:b/>
          <w:bCs/>
          <w:color w:val="1A3557"/>
          <w:sz w:val="34"/>
          <w:szCs w:val="34"/>
        </w:rPr>
        <w:t xml:space="preserve">Conclusion</w:t>
      </w:r>
    </w:p>
    <w:p>
      <w:pPr>
        <w:spacing w:after="180" w:line="340" w:lineRule="auto"/>
        <w:jc w:val="both"/>
      </w:pPr>
      <w:r>
        <w:rPr>
          <w:rFonts w:ascii="Calibri" w:cs="Calibri" w:eastAsia="Calibri" w:hAnsi="Calibri"/>
          <w:color w:val="2C2C2C"/>
          <w:sz w:val="22"/>
          <w:szCs w:val="22"/>
        </w:rPr>
        <w:t xml:space="preserve">This project delivered a holistic and applied understanding of digital literacy and its centrality in today's technology-driven academic and professional environment. Through the five structured modules, a broad spectrum of competencies was developed — spanning the creation of digital awareness content, the establishment of a professional online identity, the practice of programming fundamentals, the use of collaboration tools, and a deepened comprehension of cybercrime and its prevention.</w:t>
      </w:r>
    </w:p>
    <w:p>
      <w:pPr>
        <w:spacing w:after="180" w:line="340" w:lineRule="auto"/>
        <w:jc w:val="both"/>
      </w:pPr>
      <w:r>
        <w:rPr>
          <w:rFonts w:ascii="Calibri" w:cs="Calibri" w:eastAsia="Calibri" w:hAnsi="Calibri"/>
          <w:color w:val="2C2C2C"/>
          <w:sz w:val="22"/>
          <w:szCs w:val="22"/>
        </w:rPr>
        <w:t xml:space="preserve">Each task contributed to the development of practical skills with direct relevance to both academic progression and future career readiness. Key learning outcomes included the ability to communicate professionally through electronic channels, effectively manage platforms such as GitHub and LinkedIn, and utilise tools like Google Forms for collaborative data collection and feedback management. The cybercrime modules further expanded awareness of digital threats and reinforced the importance of responsible online behaviour.</w:t>
      </w:r>
    </w:p>
    <w:p>
      <w:pPr>
        <w:spacing w:after="180" w:line="340" w:lineRule="auto"/>
        <w:jc w:val="both"/>
      </w:pPr>
      <w:r>
        <w:rPr>
          <w:rFonts w:ascii="Calibri" w:cs="Calibri" w:eastAsia="Calibri" w:hAnsi="Calibri"/>
          <w:color w:val="2C2C2C"/>
          <w:sz w:val="22"/>
          <w:szCs w:val="22"/>
        </w:rPr>
        <w:t xml:space="preserve">Ultimately, this project has fostered greater confidence, competence, and accountability in the use of digital technologies. The knowledge and skills acquired through this experience will prove invaluable throughout the academic journey and will serve as a strong foundation for navigating professional environments with integrity and adaptability.</w:t>
      </w:r>
    </w:p>
    <w:p>
      <w:pPr>
        <w:spacing w:after="100"/>
      </w:pPr>
      <w:r>
        <w:t xml:space="preserve"/>
      </w:r>
    </w:p>
    <w:p>
      <w:pPr>
        <w:pStyle w:val="Heading1"/>
        <w:pBdr>
          <w:bottom w:val="single" w:color="2E75B6" w:sz="6" w:space="4"/>
        </w:pBdr>
        <w:spacing w:before="320" w:after="160"/>
      </w:pPr>
      <w:r>
        <w:rPr>
          <w:rFonts w:ascii="Calibri" w:cs="Calibri" w:eastAsia="Calibri" w:hAnsi="Calibri"/>
          <w:b/>
          <w:bCs/>
          <w:color w:val="1A3557"/>
          <w:sz w:val="34"/>
          <w:szCs w:val="34"/>
        </w:rPr>
        <w:t xml:space="preserve">References</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00"/>
            </w:tcMar>
          </w:tcPr>
          <w:p>
            <w:r>
              <w:rPr>
                <w:rFonts w:ascii="Calibri" w:cs="Calibri" w:eastAsia="Calibri" w:hAnsi="Calibri"/>
                <w:b/>
                <w:bCs/>
                <w:color w:val="2E75B6"/>
                <w:sz w:val="21"/>
                <w:szCs w:val="21"/>
              </w:rPr>
              <w:t xml:space="preserve">01</w:t>
            </w:r>
          </w:p>
        </w:tc>
        <w:tc>
          <w:tcPr>
            <w:tcW w:type="dxa" w:w="888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tcPr>
          <w:p>
            <w:r>
              <w:rPr>
                <w:rFonts w:ascii="Calibri" w:cs="Calibri" w:eastAsia="Calibri" w:hAnsi="Calibri"/>
                <w:color w:val="333333"/>
                <w:sz w:val="21"/>
                <w:szCs w:val="21"/>
              </w:rPr>
              <w:t xml:space="preserve">Vityarthi — Course Learning Platform</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b/>
                <w:bCs/>
                <w:color w:val="2E75B6"/>
                <w:sz w:val="21"/>
                <w:szCs w:val="21"/>
              </w:rPr>
              <w:t xml:space="preserve">02</w:t>
            </w:r>
          </w:p>
        </w:tc>
        <w:tc>
          <w:tcPr>
            <w:tcW w:type="dxa" w:w="8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ChatGPT — AI Research Assistance</w:t>
            </w:r>
          </w:p>
        </w:tc>
      </w:tr>
      <w:tr>
        <w:tc>
          <w:tcPr>
            <w:tcW w:type="dxa" w:w="12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00"/>
            </w:tcMar>
          </w:tcPr>
          <w:p>
            <w:r>
              <w:rPr>
                <w:rFonts w:ascii="Calibri" w:cs="Calibri" w:eastAsia="Calibri" w:hAnsi="Calibri"/>
                <w:b/>
                <w:bCs/>
                <w:color w:val="2E75B6"/>
                <w:sz w:val="21"/>
                <w:szCs w:val="21"/>
              </w:rPr>
              <w:t xml:space="preserve">03</w:t>
            </w:r>
          </w:p>
        </w:tc>
        <w:tc>
          <w:tcPr>
            <w:tcW w:type="dxa" w:w="888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tcPr>
          <w:p>
            <w:r>
              <w:rPr>
                <w:rFonts w:ascii="Calibri" w:cs="Calibri" w:eastAsia="Calibri" w:hAnsi="Calibri"/>
                <w:color w:val="333333"/>
                <w:sz w:val="21"/>
                <w:szCs w:val="21"/>
              </w:rPr>
              <w:t xml:space="preserve">Canva — Infographic Design Tool (canva.com)</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b/>
                <w:bCs/>
                <w:color w:val="2E75B6"/>
                <w:sz w:val="21"/>
                <w:szCs w:val="21"/>
              </w:rPr>
              <w:t xml:space="preserve">04</w:t>
            </w:r>
          </w:p>
        </w:tc>
        <w:tc>
          <w:tcPr>
            <w:tcW w:type="dxa" w:w="8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HackerRank — Coding Practice Platform (hackerrank.com)</w:t>
            </w:r>
          </w:p>
        </w:tc>
      </w:tr>
      <w:tr>
        <w:tc>
          <w:tcPr>
            <w:tcW w:type="dxa" w:w="12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00"/>
            </w:tcMar>
          </w:tcPr>
          <w:p>
            <w:r>
              <w:rPr>
                <w:rFonts w:ascii="Calibri" w:cs="Calibri" w:eastAsia="Calibri" w:hAnsi="Calibri"/>
                <w:b/>
                <w:bCs/>
                <w:color w:val="2E75B6"/>
                <w:sz w:val="21"/>
                <w:szCs w:val="21"/>
              </w:rPr>
              <w:t xml:space="preserve">05</w:t>
            </w:r>
          </w:p>
        </w:tc>
        <w:tc>
          <w:tcPr>
            <w:tcW w:type="dxa" w:w="888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tcPr>
          <w:p>
            <w:r>
              <w:rPr>
                <w:rFonts w:ascii="Calibri" w:cs="Calibri" w:eastAsia="Calibri" w:hAnsi="Calibri"/>
                <w:color w:val="333333"/>
                <w:sz w:val="21"/>
                <w:szCs w:val="21"/>
              </w:rPr>
              <w:t xml:space="preserve">LinkedIn — Professional Networking (linkedin.com)</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b/>
                <w:bCs/>
                <w:color w:val="2E75B6"/>
                <w:sz w:val="21"/>
                <w:szCs w:val="21"/>
              </w:rPr>
              <w:t xml:space="preserve">06</w:t>
            </w:r>
          </w:p>
        </w:tc>
        <w:tc>
          <w:tcPr>
            <w:tcW w:type="dxa" w:w="8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GitHub — Version Control &amp; Portfolio (github.com)</w:t>
            </w:r>
          </w:p>
        </w:tc>
      </w:tr>
      <w:tr>
        <w:tc>
          <w:tcPr>
            <w:tcW w:type="dxa" w:w="12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00"/>
            </w:tcMar>
          </w:tcPr>
          <w:p>
            <w:r>
              <w:rPr>
                <w:rFonts w:ascii="Calibri" w:cs="Calibri" w:eastAsia="Calibri" w:hAnsi="Calibri"/>
                <w:b/>
                <w:bCs/>
                <w:color w:val="2E75B6"/>
                <w:sz w:val="21"/>
                <w:szCs w:val="21"/>
              </w:rPr>
              <w:t xml:space="preserve">07</w:t>
            </w:r>
          </w:p>
        </w:tc>
        <w:tc>
          <w:tcPr>
            <w:tcW w:type="dxa" w:w="888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tcPr>
          <w:p>
            <w:r>
              <w:rPr>
                <w:rFonts w:ascii="Calibri" w:cs="Calibri" w:eastAsia="Calibri" w:hAnsi="Calibri"/>
                <w:color w:val="333333"/>
                <w:sz w:val="21"/>
                <w:szCs w:val="21"/>
              </w:rPr>
              <w:t xml:space="preserve">Kaggle — Data Science Platform (kaggle.com)</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b/>
                <w:bCs/>
                <w:color w:val="2E75B6"/>
                <w:sz w:val="21"/>
                <w:szCs w:val="21"/>
              </w:rPr>
              <w:t xml:space="preserve">08</w:t>
            </w:r>
          </w:p>
        </w:tc>
        <w:tc>
          <w:tcPr>
            <w:tcW w:type="dxa" w:w="8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Microsoft Word — Document Preparation</w:t>
            </w:r>
          </w:p>
        </w:tc>
      </w:tr>
      <w:tr>
        <w:tc>
          <w:tcPr>
            <w:tcW w:type="dxa" w:w="12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00"/>
            </w:tcMar>
          </w:tcPr>
          <w:p>
            <w:r>
              <w:rPr>
                <w:rFonts w:ascii="Calibri" w:cs="Calibri" w:eastAsia="Calibri" w:hAnsi="Calibri"/>
                <w:b/>
                <w:bCs/>
                <w:color w:val="2E75B6"/>
                <w:sz w:val="21"/>
                <w:szCs w:val="21"/>
              </w:rPr>
              <w:t xml:space="preserve">09</w:t>
            </w:r>
          </w:p>
        </w:tc>
        <w:tc>
          <w:tcPr>
            <w:tcW w:type="dxa" w:w="888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tcPr>
          <w:p>
            <w:r>
              <w:rPr>
                <w:rFonts w:ascii="Calibri" w:cs="Calibri" w:eastAsia="Calibri" w:hAnsi="Calibri"/>
                <w:color w:val="333333"/>
                <w:sz w:val="21"/>
                <w:szCs w:val="21"/>
              </w:rPr>
              <w:t xml:space="preserve">Google Forms &amp; Google Sheets — Survey &amp; Data Tools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Calibri" w:cs="Calibri" w:eastAsia="Calibri" w:hAnsi="Calibri"/>
                <w:b/>
                <w:bCs/>
                <w:color w:val="2E75B6"/>
                <w:sz w:val="21"/>
                <w:szCs w:val="21"/>
              </w:rPr>
              <w:t xml:space="preserve">10</w:t>
            </w:r>
          </w:p>
        </w:tc>
        <w:tc>
          <w:tcPr>
            <w:tcW w:type="dxa" w:w="8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alibri" w:cs="Calibri" w:eastAsia="Calibri" w:hAnsi="Calibri"/>
                <w:color w:val="333333"/>
                <w:sz w:val="21"/>
                <w:szCs w:val="21"/>
              </w:rPr>
              <w:t xml:space="preserve">Wikipedia — General Reference (wikipedia.org)</w:t>
            </w:r>
          </w:p>
        </w:tc>
      </w:tr>
      <w:tr>
        <w:tc>
          <w:tcPr>
            <w:tcW w:type="dxa" w:w="120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00"/>
            </w:tcMar>
          </w:tcPr>
          <w:p>
            <w:r>
              <w:rPr>
                <w:rFonts w:ascii="Calibri" w:cs="Calibri" w:eastAsia="Calibri" w:hAnsi="Calibri"/>
                <w:b/>
                <w:bCs/>
                <w:color w:val="2E75B6"/>
                <w:sz w:val="21"/>
                <w:szCs w:val="21"/>
              </w:rPr>
              <w:t xml:space="preserve">11</w:t>
            </w:r>
          </w:p>
        </w:tc>
        <w:tc>
          <w:tcPr>
            <w:tcW w:type="dxa" w:w="8880"/>
            <w:tcBorders>
              <w:top w:val="single" w:color="DDDDDD" w:sz="1"/>
              <w:left w:val="single" w:color="DDDDDD" w:sz="1"/>
              <w:bottom w:val="single" w:color="DDDDDD" w:sz="1"/>
              <w:right w:val="single" w:color="DDDDDD" w:sz="1"/>
            </w:tcBorders>
            <w:shd w:fill="D6E4F7" w:val="clear"/>
            <w:tcMar>
              <w:top w:type="dxa" w:w="100"/>
              <w:left w:type="dxa" w:w="160"/>
              <w:bottom w:type="dxa" w:w="100"/>
              <w:right w:type="dxa" w:w="160"/>
            </w:tcMar>
          </w:tcPr>
          <w:p>
            <w:r>
              <w:rPr>
                <w:rFonts w:ascii="Calibri" w:cs="Calibri" w:eastAsia="Calibri" w:hAnsi="Calibri"/>
                <w:color w:val="333333"/>
                <w:sz w:val="21"/>
                <w:szCs w:val="21"/>
              </w:rPr>
              <w:t xml:space="preserve">National Cyber Crime Reporting Portal (cybercrime.gov.in) &amp; Helpline: 1930</w:t>
            </w:r>
          </w:p>
        </w:tc>
      </w:tr>
    </w:tbl>
    <w:p>
      <w:pPr>
        <w:spacing w:after="2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Calibri" w:cs="Calibri" w:eastAsia="Calibri" w:hAnsi="Calibri"/>
        <w:color w:val="999999"/>
        <w:sz w:val="17"/>
        <w:szCs w:val="17"/>
      </w:rPr>
      <w:t xml:space="preserve">Digital Literacy  |  CSE0001  |  Page </w:t>
    </w:r>
    <w:r>
      <w:rPr>
        <w:rFonts w:ascii="Calibri" w:cs="Calibri" w:eastAsia="Calibri" w:hAnsi="Calibri"/>
        <w:b/>
        <w:bCs/>
        <w:color w:val="2E75B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Calibri" w:cs="Calibri" w:eastAsia="Calibri" w:hAnsi="Calibri"/>
        <w:i/>
        <w:iCs/>
        <w:color w:val="999999"/>
        <w:sz w:val="18"/>
        <w:szCs w:val="18"/>
      </w:rPr>
      <w:t xml:space="preserve">Student Digital Ambassador — Project Report</w:t>
    </w:r>
    <w:r>
      <w:rPr>
        <w:rFonts w:ascii="Calibri" w:cs="Calibri" w:eastAsia="Calibri" w:hAnsi="Calibri"/>
        <w:color w:val="BBBBBB"/>
        <w:sz w:val="18"/>
        <w:szCs w:val="18"/>
      </w:rPr>
      <w:t xml:space="preserve">   |   Prastut Mahtha   |   25BAI11044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1A3557"/>
      <w:sz w:val="34"/>
      <w:szCs w:val="34"/>
    </w:rPr>
  </w:style>
  <w:style w:type="paragraph" w:styleId="Heading2">
    <w:name w:val="Heading 2"/>
    <w:basedOn w:val="Normal"/>
    <w:next w:val="Normal"/>
    <w:qFormat/>
    <w:pPr>
      <w:spacing w:before="220" w:after="1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2026-03-28T19:54:23.735Z</dcterms:created>
  <dcterms:modified xsi:type="dcterms:W3CDTF">2026-03-28T19:54:23.736Z</dcterms:modified>
</cp:coreProperties>
</file>

<file path=docProps/custom.xml><?xml version="1.0" encoding="utf-8"?>
<Properties xmlns="http://schemas.openxmlformats.org/officeDocument/2006/custom-properties" xmlns:vt="http://schemas.openxmlformats.org/officeDocument/2006/docPropsVTypes"/>
</file>