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25 - 19th Aug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Cloud-Native &amp; 12-Factor Alignment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does the 12-Factor App methodology ensure that applications remain portable and resilient across different cloud environments?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&amp; Dependencies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is externalizing configuration (including secrets in Spring Boot profiles) critical for maintaining dev/prod parity, and how does it differ from dependency management?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10.38 to 10.10.42 to 10.45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10.45 to 11am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Qn 1 of each topic is work in class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Qn 2 of each topic is hom Task.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ft579qvpi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an Application Cloud-Native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cloud-native design differ from traditional monolithic application design in terms of scalability and resilience?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containerization considered a key enabler of cloud-native applications?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3hufms60c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to the 12-Factor App Methodology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the 12-Factor methodology ensure portability across cloud platforms?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factors directly address developer productivity versus operational stability?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havmpmugx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Code &amp; Configuration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edzca29ln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Codebase and Dependency Management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maintaining a single codebase with multiple deploys critical for consistency?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explicit dependency declaration improve application reliability?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r8bbavjf7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Externalized Configuration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configuration be externalized instead of hardcoded in the application?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externalized configuration support dev/prod parity?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k9w0revjb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Services &amp; Resources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a8vp68w6f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Backing Services as Attached Resources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backing services (like databases or queues) be treated as attached resources?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principle simplify migration between environments?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einnpsqhm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Build, Release, Run Separation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it important to separate build, release, and run stages in deployment pipelines?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separation reduce risk during production deployments?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5x1xbu98l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Processes &amp; Scaling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urun7obiq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Stateless Processes and Statelessness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statelessness essential for horizontal scaling in cloud-native systems?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session data be managed in a stateless architecture?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vep3kc6ml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 Binding and Self-Contained Services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the 12-Factor methodology recommend port binding for service exposure?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port binding enable microservices to remain self-contained?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3i50y9jkw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Concurrency and Scaling Out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process concurrency differ from vertical scaling?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scaling out preferred over scaling up in cloud-native systems?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mna4hheu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Reliability &amp; Parity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wem6zfnl6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Disposability and Graceful Shutdown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processes be disposable in cloud-native environments?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graceful shutdown improve reliability during scaling events?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0gmbeqhpv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Dev/Prod Parity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minimizing differences between development and production environments critical?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continuous deployment support dev/prod parity?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0e0fkrlws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Observability &amp; Config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exvh55x7l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as Event Streams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logs be treated as event streams rather than files?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centralized log aggregation improve debugging in distributed systems?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0ikmipwcq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Externalizing Config &amp; Secrets in Spring Boot (Profiles)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Spring Boot profiles help manage environment-specific configurations?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secrets be externalized instead of stored in application code?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otep40jak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Health, Readiness and Liveness Endpoints (Actuator)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readiness and liveness probes in Spring Boot Actuator?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health endpoints contribute to automated monitoring and alerting?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task: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Statelessness &amp; Scaling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what ways do stateless processes and port binding enable horizontal scaling and self-contained services in microservice architectures?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Lifecycle &amp; Observability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 disposability, graceful shutdown, and health/readiness/liveness endpoints (via Actuator) collectively improve reliability in cloud-native deployments?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Insight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are logs treated as event streams in cloud-native systems, and how does this approach differ from traditional logging in monolithic applications?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