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00000"/>
          <w:sz w:val="40"/>
          <w:szCs w:val="40"/>
        </w:rPr>
        <w:t xml:space="preserve">Data Dictionary</w:t>
      </w:r>
    </w:p>
    <w:p>
      <w:pPr>
        <w:pBdr>
          <w:bottom w:val="single" w:color="2E75B6" w:sz="6" w:space="2"/>
        </w:pBdr>
        <w:spacing w:after="160"/>
      </w:pPr>
      <w:r>
        <w:rPr>
          <w:color w:val="2E75B6"/>
          <w:sz w:val="30"/>
          <w:szCs w:val="30"/>
        </w:rPr>
        <w:t xml:space="preserve">Trade Promotion ROI Optimizer</w:t>
      </w:r>
    </w:p>
    <w:p>
      <w:pPr>
        <w:spacing w:after="30"/>
      </w:pPr>
      <w:r>
        <w:rPr>
          <w:color w:val="595959"/>
          <w:sz w:val="19"/>
          <w:szCs w:val="19"/>
        </w:rPr>
        <w:t xml:space="preserve">Version 1.0   |   Owner: Prateek Srivastava   |   Last updated: May 2026</w:t>
      </w:r>
    </w:p>
    <w:p>
      <w:pPr>
        <w:spacing w:after="200"/>
      </w:pPr>
      <w:r>
        <w:rPr>
          <w:rFonts w:ascii="Courier New" w:cs="Courier New" w:eastAsia="Courier New" w:hAnsi="Courier New"/>
          <w:i/>
          <w:iCs/>
          <w:color w:val="595959"/>
          <w:sz w:val="18"/>
          <w:szCs w:val="18"/>
        </w:rPr>
        <w:t xml:space="preserve">Repo path: /docs/data_dictionary.md</w:t>
      </w:r>
    </w:p>
    <w:p>
      <w:pPr>
        <w:pStyle w:val="Heading1"/>
        <w:spacing w:after="130" w:before="280"/>
      </w:pPr>
      <w:r>
        <w:t xml:space="preserve">1. Purpose</w:t>
      </w:r>
    </w:p>
    <w:p>
      <w:pPr>
        <w:spacing w:after="140" w:line="276"/>
      </w:pPr>
      <w:r>
        <w:t xml:space="preserve">This document is the authoritative reference for every data source consumed by the Trade Promotion ROI Optimizer. It is intended for two audiences: the developer (or LLM) generating the synthetic data, and the recruiter or interviewer reviewing the portfolio. Schemas, foreign keys, value domains, and quality rules are specified here once and referenced everywhere else.</w:t>
      </w:r>
    </w:p>
    <w:p>
      <w:pPr>
        <w:spacing w:after="140" w:line="276"/>
      </w:pPr>
      <w:r>
        <w:t xml:space="preserve">The product reads eight data sources in total: seven structured CSV files that form a star schema around the sales fact table, and one Word document that captures business policy as unstructured prose. All eight are versioned in this repository.</w:t>
      </w:r>
    </w:p>
    <w:p>
      <w:pPr>
        <w:pStyle w:val="Heading1"/>
        <w:spacing w:after="130" w:before="280"/>
      </w:pPr>
      <w:r>
        <w:t xml:space="preserve">2. Source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900"/>
        <w:gridCol w:w="1000"/>
        <w:gridCol w:w="3100"/>
        <w:gridCol w:w="1800"/>
      </w:tblGrid>
      <w:tr>
        <w:trPr>
          <w:tblHeader/>
        </w:trPr>
        <w:tc>
          <w:tcPr>
            <w:tcW w:type="dxa" w:w="5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7"/>
                <w:szCs w:val="17"/>
              </w:rPr>
              <w:t xml:space="preserve">#</w:t>
            </w:r>
          </w:p>
        </w:tc>
        <w:tc>
          <w:tcPr>
            <w:tcW w:type="dxa" w:w="29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7"/>
                <w:szCs w:val="17"/>
              </w:rPr>
              <w:t xml:space="preserve">Source</w:t>
            </w:r>
          </w:p>
        </w:tc>
        <w:tc>
          <w:tcPr>
            <w:tcW w:type="dxa" w:w="10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7"/>
                <w:szCs w:val="17"/>
              </w:rPr>
              <w:t xml:space="preserve">Format</w:t>
            </w:r>
          </w:p>
        </w:tc>
        <w:tc>
          <w:tcPr>
            <w:tcW w:type="dxa" w:w="31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7"/>
                <w:szCs w:val="17"/>
              </w:rPr>
              <w:t xml:space="preserve">Role</w:t>
            </w:r>
          </w:p>
        </w:tc>
        <w:tc>
          <w:tcPr>
            <w:tcW w:type="dxa" w:w="18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7"/>
                <w:szCs w:val="17"/>
              </w:rPr>
              <w:t xml:space="preserve">Approx. rows</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1</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7"/>
                <w:szCs w:val="17"/>
              </w:rPr>
              <w:t xml:space="preserve">sku_master.csv</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CSV</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Product master</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50</w:t>
            </w:r>
          </w:p>
        </w:tc>
      </w:tr>
      <w:tr>
        <w:tc>
          <w:tcPr>
            <w:tcW w:type="dxa" w:w="56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2</w:t>
            </w:r>
          </w:p>
        </w:tc>
        <w:tc>
          <w:tcPr>
            <w:tcW w:type="dxa" w:w="2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7"/>
                <w:szCs w:val="17"/>
              </w:rPr>
              <w:t xml:space="preserve">retailer_master.csv</w:t>
            </w:r>
          </w:p>
        </w:tc>
        <w:tc>
          <w:tcPr>
            <w:tcW w:type="dxa" w:w="10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CSV</w:t>
            </w:r>
          </w:p>
        </w:tc>
        <w:tc>
          <w:tcPr>
            <w:tcW w:type="dxa" w:w="31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Customer master</w:t>
            </w:r>
          </w:p>
        </w:tc>
        <w:tc>
          <w:tcPr>
            <w:tcW w:type="dxa" w:w="18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20</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3</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7"/>
                <w:szCs w:val="17"/>
              </w:rPr>
              <w:t xml:space="preserve">calendar.csv</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CSV</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Time dimension</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104</w:t>
            </w:r>
          </w:p>
        </w:tc>
      </w:tr>
      <w:tr>
        <w:tc>
          <w:tcPr>
            <w:tcW w:type="dxa" w:w="56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4</w:t>
            </w:r>
          </w:p>
        </w:tc>
        <w:tc>
          <w:tcPr>
            <w:tcW w:type="dxa" w:w="2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7"/>
                <w:szCs w:val="17"/>
              </w:rPr>
              <w:t xml:space="preserve">cannibalization_matrix.csv</w:t>
            </w:r>
          </w:p>
        </w:tc>
        <w:tc>
          <w:tcPr>
            <w:tcW w:type="dxa" w:w="10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CSV</w:t>
            </w:r>
          </w:p>
        </w:tc>
        <w:tc>
          <w:tcPr>
            <w:tcW w:type="dxa" w:w="31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SKU pair substitution</w:t>
            </w:r>
          </w:p>
        </w:tc>
        <w:tc>
          <w:tcPr>
            <w:tcW w:type="dxa" w:w="18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~120</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5</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7"/>
                <w:szCs w:val="17"/>
              </w:rPr>
              <w:t xml:space="preserve">sales_history.csv</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CSV</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Sales fact table</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~100,000</w:t>
            </w:r>
          </w:p>
        </w:tc>
      </w:tr>
      <w:tr>
        <w:tc>
          <w:tcPr>
            <w:tcW w:type="dxa" w:w="56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6</w:t>
            </w:r>
          </w:p>
        </w:tc>
        <w:tc>
          <w:tcPr>
            <w:tcW w:type="dxa" w:w="2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7"/>
                <w:szCs w:val="17"/>
              </w:rPr>
              <w:t xml:space="preserve">promo_history.csv</w:t>
            </w:r>
          </w:p>
        </w:tc>
        <w:tc>
          <w:tcPr>
            <w:tcW w:type="dxa" w:w="10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CSV</w:t>
            </w:r>
          </w:p>
        </w:tc>
        <w:tc>
          <w:tcPr>
            <w:tcW w:type="dxa" w:w="31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Promo event log</w:t>
            </w:r>
          </w:p>
        </w:tc>
        <w:tc>
          <w:tcPr>
            <w:tcW w:type="dxa" w:w="18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~800</w:t>
            </w:r>
          </w:p>
        </w:tc>
      </w:tr>
      <w:tr>
        <w:tc>
          <w:tcPr>
            <w:tcW w:type="dxa" w:w="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7</w:t>
            </w:r>
          </w:p>
        </w:tc>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7"/>
                <w:szCs w:val="17"/>
              </w:rPr>
              <w:t xml:space="preserve">trade_spend_ledger.csv</w:t>
            </w:r>
          </w:p>
        </w:tc>
        <w:tc>
          <w:tcPr>
            <w:tcW w:type="dxa" w:w="10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CSV</w:t>
            </w:r>
          </w:p>
        </w:tc>
        <w:tc>
          <w:tcPr>
            <w:tcW w:type="dxa" w:w="31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Spend transactions</w:t>
            </w:r>
          </w:p>
        </w:tc>
        <w:tc>
          <w:tcPr>
            <w:tcW w:type="dxa" w:w="18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~2,000</w:t>
            </w:r>
          </w:p>
        </w:tc>
      </w:tr>
      <w:tr>
        <w:tc>
          <w:tcPr>
            <w:tcW w:type="dxa" w:w="56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8</w:t>
            </w:r>
          </w:p>
        </w:tc>
        <w:tc>
          <w:tcPr>
            <w:tcW w:type="dxa" w:w="2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7"/>
                <w:szCs w:val="17"/>
              </w:rPr>
              <w:t xml:space="preserve">business_rules.docx</w:t>
            </w:r>
          </w:p>
        </w:tc>
        <w:tc>
          <w:tcPr>
            <w:tcW w:type="dxa" w:w="10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Word</w:t>
            </w:r>
          </w:p>
        </w:tc>
        <w:tc>
          <w:tcPr>
            <w:tcW w:type="dxa" w:w="31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Policy document</w:t>
            </w:r>
          </w:p>
        </w:tc>
        <w:tc>
          <w:tcPr>
            <w:tcW w:type="dxa" w:w="18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~14 rules</w:t>
            </w:r>
          </w:p>
        </w:tc>
      </w:tr>
    </w:tbl>
    <w:p>
      <w:pPr>
        <w:spacing w:after="80"/>
      </w:pPr>
      <w:r>
        <w:t xml:space="preserve"/>
      </w:r>
    </w:p>
    <w:p>
      <w:pPr>
        <w:spacing w:after="140" w:line="276"/>
      </w:pPr>
      <w:r>
        <w:t xml:space="preserve">All seven CSV files use UTF-8 encoding, comma delimiters, and a single header row. Dates follow ISO 8601 (YYYY-MM-DD). Booleans are lowercase true / false. Nulls are represented by empty strings, not the literal word null.</w:t>
      </w:r>
    </w:p>
    <w:p>
      <w:pPr>
        <w:pStyle w:val="Heading1"/>
        <w:spacing w:after="130" w:before="280"/>
      </w:pPr>
      <w:r>
        <w:t xml:space="preserve">3. Entity Relationships</w:t>
      </w:r>
    </w:p>
    <w:p>
      <w:pPr>
        <w:spacing w:after="140" w:line="276"/>
      </w:pPr>
      <w:r>
        <w:t xml:space="preserve">The seven structured files form a star schema centred on the sales fact table. The foreign-key relationships are:</w:t>
      </w:r>
    </w:p>
    <w:p>
      <w:pPr>
        <w:pStyle w:val="ListParagraph"/>
        <w:numPr>
          <w:ilvl w:val="0"/>
          <w:numId w:val="2"/>
        </w:numPr>
        <w:spacing w:after="70" w:line="270"/>
      </w:pPr>
      <w:r>
        <w:rPr>
          <w:rFonts w:ascii="Courier New" w:cs="Courier New" w:eastAsia="Courier New" w:hAnsi="Courier New"/>
        </w:rPr>
        <w:t xml:space="preserve">sales_history</w:t>
      </w:r>
      <w:r>
        <w:t xml:space="preserve"> references </w:t>
      </w:r>
      <w:r>
        <w:rPr>
          <w:rFonts w:ascii="Courier New" w:cs="Courier New" w:eastAsia="Courier New" w:hAnsi="Courier New"/>
        </w:rPr>
        <w:t xml:space="preserve">sku_master</w:t>
      </w:r>
      <w:r>
        <w:t xml:space="preserve">, </w:t>
      </w:r>
      <w:r>
        <w:rPr>
          <w:rFonts w:ascii="Courier New" w:cs="Courier New" w:eastAsia="Courier New" w:hAnsi="Courier New"/>
        </w:rPr>
        <w:t xml:space="preserve">retailer_master</w:t>
      </w:r>
      <w:r>
        <w:t xml:space="preserve">, </w:t>
      </w:r>
      <w:r>
        <w:rPr>
          <w:rFonts w:ascii="Courier New" w:cs="Courier New" w:eastAsia="Courier New" w:hAnsi="Courier New"/>
        </w:rPr>
        <w:t xml:space="preserve">calendar</w:t>
      </w:r>
      <w:r>
        <w:t xml:space="preserve">, and optionally </w:t>
      </w:r>
      <w:r>
        <w:rPr>
          <w:rFonts w:ascii="Courier New" w:cs="Courier New" w:eastAsia="Courier New" w:hAnsi="Courier New"/>
        </w:rPr>
        <w:t xml:space="preserve">promo_history</w:t>
      </w:r>
      <w:r>
        <w:t xml:space="preserve">.</w:t>
      </w:r>
    </w:p>
    <w:p>
      <w:pPr>
        <w:pStyle w:val="ListParagraph"/>
        <w:numPr>
          <w:ilvl w:val="0"/>
          <w:numId w:val="2"/>
        </w:numPr>
        <w:spacing w:after="70" w:line="270"/>
      </w:pPr>
      <w:r>
        <w:rPr>
          <w:rFonts w:ascii="Courier New" w:cs="Courier New" w:eastAsia="Courier New" w:hAnsi="Courier New"/>
        </w:rPr>
        <w:t xml:space="preserve">promo_history</w:t>
      </w:r>
      <w:r>
        <w:t xml:space="preserve"> references </w:t>
      </w:r>
      <w:r>
        <w:rPr>
          <w:rFonts w:ascii="Courier New" w:cs="Courier New" w:eastAsia="Courier New" w:hAnsi="Courier New"/>
        </w:rPr>
        <w:t xml:space="preserve">sku_master</w:t>
      </w:r>
      <w:r>
        <w:t xml:space="preserve">, </w:t>
      </w:r>
      <w:r>
        <w:rPr>
          <w:rFonts w:ascii="Courier New" w:cs="Courier New" w:eastAsia="Courier New" w:hAnsi="Courier New"/>
        </w:rPr>
        <w:t xml:space="preserve">retailer_master</w:t>
      </w:r>
      <w:r>
        <w:t xml:space="preserve">, and </w:t>
      </w:r>
      <w:r>
        <w:rPr>
          <w:rFonts w:ascii="Courier New" w:cs="Courier New" w:eastAsia="Courier New" w:hAnsi="Courier New"/>
        </w:rPr>
        <w:t xml:space="preserve">calendar</w:t>
      </w:r>
      <w:r>
        <w:t xml:space="preserve"> (start and end week).</w:t>
      </w:r>
    </w:p>
    <w:p>
      <w:pPr>
        <w:pStyle w:val="ListParagraph"/>
        <w:numPr>
          <w:ilvl w:val="0"/>
          <w:numId w:val="2"/>
        </w:numPr>
        <w:spacing w:after="70" w:line="270"/>
      </w:pPr>
      <w:r>
        <w:rPr>
          <w:rFonts w:ascii="Courier New" w:cs="Courier New" w:eastAsia="Courier New" w:hAnsi="Courier New"/>
        </w:rPr>
        <w:t xml:space="preserve">trade_spend_ledger</w:t>
      </w:r>
      <w:r>
        <w:t xml:space="preserve"> references </w:t>
      </w:r>
      <w:r>
        <w:rPr>
          <w:rFonts w:ascii="Courier New" w:cs="Courier New" w:eastAsia="Courier New" w:hAnsi="Courier New"/>
        </w:rPr>
        <w:t xml:space="preserve">promo_history</w:t>
      </w:r>
      <w:r>
        <w:t xml:space="preserve"> and </w:t>
      </w:r>
      <w:r>
        <w:rPr>
          <w:rFonts w:ascii="Courier New" w:cs="Courier New" w:eastAsia="Courier New" w:hAnsi="Courier New"/>
        </w:rPr>
        <w:t xml:space="preserve">retailer_master</w:t>
      </w:r>
      <w:r>
        <w:t xml:space="preserve">.</w:t>
      </w:r>
    </w:p>
    <w:p>
      <w:pPr>
        <w:pStyle w:val="ListParagraph"/>
        <w:numPr>
          <w:ilvl w:val="0"/>
          <w:numId w:val="2"/>
        </w:numPr>
        <w:spacing w:after="70" w:line="270"/>
      </w:pPr>
      <w:r>
        <w:rPr>
          <w:rFonts w:ascii="Courier New" w:cs="Courier New" w:eastAsia="Courier New" w:hAnsi="Courier New"/>
        </w:rPr>
        <w:t xml:space="preserve">cannibalization_matrix</w:t>
      </w:r>
      <w:r>
        <w:t xml:space="preserve"> is self-referential on </w:t>
      </w:r>
      <w:r>
        <w:rPr>
          <w:rFonts w:ascii="Courier New" w:cs="Courier New" w:eastAsia="Courier New" w:hAnsi="Courier New"/>
        </w:rPr>
        <w:t xml:space="preserve">sku_master</w:t>
      </w:r>
      <w:r>
        <w:t xml:space="preserve"> (a directed SKU pair).</w:t>
      </w:r>
    </w:p>
    <w:p>
      <w:pPr>
        <w:spacing w:after="140" w:line="276"/>
      </w:pPr>
      <w:r>
        <w:t xml:space="preserve">The business rules document is consumed independently. It does not join to any structured table at the data layer; instead, its parsed output constrains the agent's decisions about the data.</w:t>
      </w:r>
    </w:p>
    <w:p>
      <w:pPr>
        <w:pStyle w:val="Heading1"/>
        <w:spacing w:after="130" w:before="280"/>
      </w:pPr>
      <w:r>
        <w:t xml:space="preserve">4. Detailed Schemas</w:t>
      </w:r>
    </w:p>
    <w:p>
      <w:pPr>
        <w:pStyle w:val="Heading2"/>
        <w:spacing w:after="100" w:before="220"/>
      </w:pPr>
      <w:r>
        <w:t xml:space="preserve">4.1  sku_master.csv</w:t>
      </w:r>
    </w:p>
    <w:p>
      <w:pPr>
        <w:spacing w:after="140" w:line="276"/>
      </w:pPr>
      <w:r>
        <w:t xml:space="preserve">The product catalogue. One row per SKU. Read by the lift model, cannibalization adjustment, ROI engine, and the agent itself when describing products to the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820"/>
        <w:gridCol w:w="1900"/>
        <w:gridCol w:w="3120"/>
        <w:gridCol w:w="1700"/>
      </w:tblGrid>
      <w:tr>
        <w:trPr>
          <w:tblHeader/>
        </w:trPr>
        <w:tc>
          <w:tcPr>
            <w:tcW w:type="dxa" w:w="1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Field</w:t>
            </w:r>
          </w:p>
        </w:tc>
        <w:tc>
          <w:tcPr>
            <w:tcW w:type="dxa" w:w="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Type</w:t>
            </w:r>
          </w:p>
        </w:tc>
        <w:tc>
          <w:tcPr>
            <w:tcW w:type="dxa" w:w="19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Constraint</w:t>
            </w:r>
          </w:p>
        </w:tc>
        <w:tc>
          <w:tcPr>
            <w:tcW w:type="dxa" w:w="31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Example</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sku_id</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PK, not null, SKU-####</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Unique product identifier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SKU-0001</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sku_name</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not null</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Display name shown in UI</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Premium Coffee 250g</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brand</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not null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Brand owner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BrewCo</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category</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not null</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Top-level category</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Coffee</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subcategory</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not null</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Sub-category within category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Premium ground</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pack_size</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not null</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Pack descriptor</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250g</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list_price</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float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&gt; 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List price per unit, INR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450.00</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cogs_per_unit</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float</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&gt; 0, &lt; list_price</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Cost of goods sold per unit, INR</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220.00</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gross_margin_pct</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float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0 &lt; x &lt; 1</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Derived: (list_price - cogs)/list_price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0.51</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launch_date</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date</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ISO 8601</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First sale date</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2022-04-01</w:t>
            </w:r>
          </w:p>
        </w:tc>
      </w:tr>
    </w:tbl>
    <w:p>
      <w:pPr>
        <w:spacing w:after="80"/>
      </w:pPr>
      <w:r>
        <w:t xml:space="preserve"/>
      </w:r>
    </w:p>
    <w:p>
      <w:pPr>
        <w:spacing w:after="140" w:line="276"/>
      </w:pPr>
      <w:r>
        <w:rPr>
          <w:i/>
          <w:iCs/>
        </w:rPr>
        <w:t xml:space="preserve">Quality rules. gross_margin_pct must equal (list_price - cogs_per_unit) / list_price to within rounding error. launch_date must be on or before the first week in calendar.csv. sku_id is referenced by sales_history, promo_history, and cannibalization_matrix.</w:t>
      </w:r>
    </w:p>
    <w:p>
      <w:pPr>
        <w:pStyle w:val="Heading2"/>
        <w:spacing w:after="100" w:before="220"/>
      </w:pPr>
      <w:r>
        <w:t xml:space="preserve">4.2  retailer_master.csv</w:t>
      </w:r>
    </w:p>
    <w:p>
      <w:pPr>
        <w:spacing w:after="140" w:line="276"/>
      </w:pPr>
      <w:r>
        <w:t xml:space="preserve">The customer master. One row per retailer. Drives channel and regional effects and the co-investment math in the ROI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820"/>
        <w:gridCol w:w="1900"/>
        <w:gridCol w:w="3120"/>
        <w:gridCol w:w="1700"/>
      </w:tblGrid>
      <w:tr>
        <w:trPr>
          <w:tblHeader/>
        </w:trPr>
        <w:tc>
          <w:tcPr>
            <w:tcW w:type="dxa" w:w="1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Field</w:t>
            </w:r>
          </w:p>
        </w:tc>
        <w:tc>
          <w:tcPr>
            <w:tcW w:type="dxa" w:w="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Type</w:t>
            </w:r>
          </w:p>
        </w:tc>
        <w:tc>
          <w:tcPr>
            <w:tcW w:type="dxa" w:w="19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Constraint</w:t>
            </w:r>
          </w:p>
        </w:tc>
        <w:tc>
          <w:tcPr>
            <w:tcW w:type="dxa" w:w="31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Example</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retailer_id</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PK, not null, RET-###</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Unique identifier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RET-001</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retailer_name</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not null</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Display name</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BigBasket</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channel</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Distribution channel</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E-commerce</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region</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enum</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Geographic region</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South</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tier</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Strategic tier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Tier 1</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coop_funding_pct</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float</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0 ≤ x ≤ 1</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Retailer share of promo spend</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0.30</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avg_weekly_volume_units</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int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&gt; 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Sizing benchmark</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12500</w:t>
            </w:r>
          </w:p>
        </w:tc>
      </w:tr>
    </w:tbl>
    <w:p>
      <w:pPr>
        <w:spacing w:after="80"/>
      </w:pPr>
      <w:r>
        <w:t xml:space="preserve"/>
      </w:r>
    </w:p>
    <w:p>
      <w:pPr>
        <w:spacing w:after="140" w:line="276"/>
      </w:pPr>
      <w:r>
        <w:rPr>
          <w:i/>
          <w:iCs/>
        </w:rPr>
        <w:t xml:space="preserve">Value domains. channel ∈ {Modern Trade, E-commerce, Traditional Trade}; region ∈ {North, South, East, West}; tier ∈ {Tier 1, Tier 2, Tier 3}.</w:t>
      </w:r>
    </w:p>
    <w:p>
      <w:pPr>
        <w:spacing w:after="140" w:line="276"/>
      </w:pPr>
      <w:r>
        <w:rPr>
          <w:i/>
          <w:iCs/>
        </w:rPr>
        <w:t xml:space="preserve">Quality rules. Tier 1 retailers should have higher avg_weekly_volume_units than Tier 2 on average. coop_funding_pct typically varies by channel.</w:t>
      </w:r>
    </w:p>
    <w:p>
      <w:pPr>
        <w:pStyle w:val="Heading2"/>
        <w:spacing w:after="100" w:before="220"/>
      </w:pPr>
      <w:r>
        <w:t xml:space="preserve">4.3  calendar.csv</w:t>
      </w:r>
    </w:p>
    <w:p>
      <w:pPr>
        <w:spacing w:after="140" w:line="276"/>
      </w:pPr>
      <w:r>
        <w:t xml:space="preserve">Time dimension. One row per week, covering 24 months (104 weeks). Provides seasonality, holiday, and festival markers that the lift model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820"/>
        <w:gridCol w:w="1900"/>
        <w:gridCol w:w="3120"/>
        <w:gridCol w:w="1700"/>
      </w:tblGrid>
      <w:tr>
        <w:trPr>
          <w:tblHeader/>
        </w:trPr>
        <w:tc>
          <w:tcPr>
            <w:tcW w:type="dxa" w:w="1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Field</w:t>
            </w:r>
          </w:p>
        </w:tc>
        <w:tc>
          <w:tcPr>
            <w:tcW w:type="dxa" w:w="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Type</w:t>
            </w:r>
          </w:p>
        </w:tc>
        <w:tc>
          <w:tcPr>
            <w:tcW w:type="dxa" w:w="19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Constraint</w:t>
            </w:r>
          </w:p>
        </w:tc>
        <w:tc>
          <w:tcPr>
            <w:tcW w:type="dxa" w:w="31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Example</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week_id</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PK, YYYY-Www</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ISO week code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2024-W14</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week_start_date</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date</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ISO 8601, Monday</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First day of the week</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2024-04-01</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week_end_date</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date</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ISO 8601, Sunday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Last day of the week</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2024-04-07</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month</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int</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1-12</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Calendar month of week_start</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4</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quarter</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Qn-YYYY</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Fiscal quarter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Q1-2024</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fiscal_year</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int</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YYYY</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Fiscal year</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2024</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season</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enum</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Season tag</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Summer</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is_holiday_week</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bool</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true/false</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Holiday flag</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false</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festival_flag</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nullable</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Named festival if any</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Diwali</w:t>
            </w:r>
          </w:p>
        </w:tc>
      </w:tr>
    </w:tbl>
    <w:p>
      <w:pPr>
        <w:spacing w:after="80"/>
      </w:pPr>
      <w:r>
        <w:t xml:space="preserve"/>
      </w:r>
    </w:p>
    <w:p>
      <w:pPr>
        <w:spacing w:after="140" w:line="276"/>
      </w:pPr>
      <w:r>
        <w:rPr>
          <w:i/>
          <w:iCs/>
        </w:rPr>
        <w:t xml:space="preserve">Value domains. season ∈ {Winter, Summer, Monsoon, Festive}; festival_flag ∈ {Diwali, Christmas, Holi, Eid, New Year, empty}.</w:t>
      </w:r>
    </w:p>
    <w:p>
      <w:pPr>
        <w:spacing w:after="140" w:line="276"/>
      </w:pPr>
      <w:r>
        <w:rPr>
          <w:i/>
          <w:iCs/>
        </w:rPr>
        <w:t xml:space="preserve">Quality rules. week_end_date must equal week_start_date + 6 days. Festival weeks should align with realistic dates for the chosen calendar year.</w:t>
      </w:r>
    </w:p>
    <w:p>
      <w:pPr>
        <w:pStyle w:val="Heading2"/>
        <w:spacing w:after="100" w:before="220"/>
      </w:pPr>
      <w:r>
        <w:t xml:space="preserve">4.4  cannibalization_matrix.csv</w:t>
      </w:r>
    </w:p>
    <w:p>
      <w:pPr>
        <w:spacing w:after="140" w:line="276"/>
      </w:pPr>
      <w:r>
        <w:t xml:space="preserve">Pairwise substitution between SKUs. Only meaningful pairs are stored, not the full cross-product. Read by the Plan Simulator when adjusting volume for substitution.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820"/>
        <w:gridCol w:w="1900"/>
        <w:gridCol w:w="3120"/>
        <w:gridCol w:w="1700"/>
      </w:tblGrid>
      <w:tr>
        <w:trPr>
          <w:tblHeader/>
        </w:trPr>
        <w:tc>
          <w:tcPr>
            <w:tcW w:type="dxa" w:w="1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Field</w:t>
            </w:r>
          </w:p>
        </w:tc>
        <w:tc>
          <w:tcPr>
            <w:tcW w:type="dxa" w:w="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Type</w:t>
            </w:r>
          </w:p>
        </w:tc>
        <w:tc>
          <w:tcPr>
            <w:tcW w:type="dxa" w:w="19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Constraint</w:t>
            </w:r>
          </w:p>
        </w:tc>
        <w:tc>
          <w:tcPr>
            <w:tcW w:type="dxa" w:w="31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Example</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sku_a</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FK → sku_master.sku_id</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SKU being promoted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SKU-0001</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sku_b</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FK, ≠ sku_a</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SKU losing volume</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SKU-0003</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cross_elasticity</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float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0 &lt; x ≤ 1</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Fraction of A's lift from B</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0.15</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relationship_type</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enum</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Why the pair cannibalizes</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Same brand</w:t>
            </w:r>
          </w:p>
        </w:tc>
      </w:tr>
    </w:tbl>
    <w:p>
      <w:pPr>
        <w:spacing w:after="80"/>
      </w:pPr>
      <w:r>
        <w:t xml:space="preserve"/>
      </w:r>
    </w:p>
    <w:p>
      <w:pPr>
        <w:spacing w:after="140" w:line="276"/>
      </w:pPr>
      <w:r>
        <w:rPr>
          <w:i/>
          <w:iCs/>
        </w:rPr>
        <w:t xml:space="preserve">Value domains. relationship_type ∈ {Same brand, Same category, Competing brand}.</w:t>
      </w:r>
    </w:p>
    <w:p>
      <w:pPr>
        <w:spacing w:after="140" w:line="276"/>
      </w:pPr>
      <w:r>
        <w:rPr>
          <w:i/>
          <w:iCs/>
        </w:rPr>
        <w:t xml:space="preserve">Quality rules. Same-brand same-subcategory pairs typically have the highest cross-elasticity (0.15-0.30). The matrix is non-symmetric: A pulling from B is not necessarily equal to B pulling from A, so both directions may appear with different elasticities.</w:t>
      </w:r>
    </w:p>
    <w:p>
      <w:pPr>
        <w:pStyle w:val="Heading2"/>
        <w:spacing w:after="100" w:before="220"/>
      </w:pPr>
      <w:r>
        <w:t xml:space="preserve">4.5  sales_history.csv</w:t>
      </w:r>
    </w:p>
    <w:p>
      <w:pPr>
        <w:spacing w:after="140" w:line="276"/>
      </w:pPr>
      <w:r>
        <w:t xml:space="preserve">The main fact table. One row per SKU × retailer × week. The baseline forecaster and lift model train on this; the agent reads from it at query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820"/>
        <w:gridCol w:w="1900"/>
        <w:gridCol w:w="3120"/>
        <w:gridCol w:w="1700"/>
      </w:tblGrid>
      <w:tr>
        <w:trPr>
          <w:tblHeader/>
        </w:trPr>
        <w:tc>
          <w:tcPr>
            <w:tcW w:type="dxa" w:w="1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Field</w:t>
            </w:r>
          </w:p>
        </w:tc>
        <w:tc>
          <w:tcPr>
            <w:tcW w:type="dxa" w:w="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Type</w:t>
            </w:r>
          </w:p>
        </w:tc>
        <w:tc>
          <w:tcPr>
            <w:tcW w:type="dxa" w:w="19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Constraint</w:t>
            </w:r>
          </w:p>
        </w:tc>
        <w:tc>
          <w:tcPr>
            <w:tcW w:type="dxa" w:w="31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Example</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week_id</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FK → calendar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Week</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2024-W14</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sku_id</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FK → sku_master</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Product</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SKU-0001</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retailer_id</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FK → retailer_master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Customer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RET-001</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units_sold</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int</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 0</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Actual sell-out units</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1850</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gross_revenue</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float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 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Units × realised price, INR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832500.00</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on_promo_flag</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bool</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true/false</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Was SKU on promo this week?</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true</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baseline_units</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int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 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Synthetic ground-truth baseline</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1200</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promo_id</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FK, nullable</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Active promo if any</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PROMO-0142</w:t>
            </w:r>
          </w:p>
        </w:tc>
      </w:tr>
    </w:tbl>
    <w:p>
      <w:pPr>
        <w:spacing w:after="80"/>
      </w:pPr>
      <w:r>
        <w:t xml:space="preserve"/>
      </w:r>
    </w:p>
    <w:p>
      <w:pPr>
        <w:spacing w:after="140" w:line="276"/>
      </w:pPr>
      <w:r>
        <w:rPr>
          <w:i/>
          <w:iCs/>
        </w:rPr>
        <w:t xml:space="preserve">Composite primary key: (week_id, sku_id, retailer_id).</w:t>
      </w:r>
    </w:p>
    <w:p>
      <w:pPr>
        <w:spacing w:after="140" w:line="276"/>
      </w:pPr>
      <w:r>
        <w:rPr>
          <w:i/>
          <w:iCs/>
        </w:rPr>
        <w:t xml:space="preserve">Quality rules. When on_promo_flag is true, promo_id must be populated and units_sold should normally exceed baseline_units. When false, promo_id must be empty and units_sold should be close to baseline_units. gross_revenue reflects the realised price (list price for non-promo weeks, discounted price for promo weeks).</w:t>
      </w:r>
    </w:p>
    <w:p>
      <w:pPr>
        <w:pStyle w:val="Heading2"/>
        <w:spacing w:after="100" w:before="220"/>
      </w:pPr>
      <w:r>
        <w:t xml:space="preserve">4.6  promo_history.csv</w:t>
      </w:r>
    </w:p>
    <w:p>
      <w:pPr>
        <w:spacing w:after="140" w:line="276"/>
      </w:pPr>
      <w:r>
        <w:t xml:space="preserve">Promotional event log. One row per promo. Captures both planned and realised values — this duality is what enables the calibration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820"/>
        <w:gridCol w:w="1900"/>
        <w:gridCol w:w="3120"/>
        <w:gridCol w:w="1700"/>
      </w:tblGrid>
      <w:tr>
        <w:trPr>
          <w:tblHeader/>
        </w:trPr>
        <w:tc>
          <w:tcPr>
            <w:tcW w:type="dxa" w:w="1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Field</w:t>
            </w:r>
          </w:p>
        </w:tc>
        <w:tc>
          <w:tcPr>
            <w:tcW w:type="dxa" w:w="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Type</w:t>
            </w:r>
          </w:p>
        </w:tc>
        <w:tc>
          <w:tcPr>
            <w:tcW w:type="dxa" w:w="19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Constraint</w:t>
            </w:r>
          </w:p>
        </w:tc>
        <w:tc>
          <w:tcPr>
            <w:tcW w:type="dxa" w:w="31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Example</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promo_id</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PK, PROMO-####</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Unique identifier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PROMO-0142</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sku_id</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FK → sku_master</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Promoted SKU</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SKU-0001</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retailer_id</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FK → retailer_master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Retailer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RET-001</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start_week</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FK → calendar</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First week</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2024-W14</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end_week</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FK, ≥ start_week</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Last week</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2024-W15</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mechanic</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enum</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Promo mechanic</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Price Off</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discount_depth_pct</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float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0 &lt; x ≤ 0.50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Discount depth</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0.20</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planned_units</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int</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&gt; 0</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Forecast units at planning</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2200</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planned_spend</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float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&gt; 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Forecast trade spend, INR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175000.00</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actual_units</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int</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 0</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Realised units</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1950</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actual_spend</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float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 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Realised trade spend, INR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168000.00</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realized_lift_pct</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float</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derived</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Actual lift over baseline</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0.625</w:t>
            </w:r>
          </w:p>
        </w:tc>
      </w:tr>
    </w:tbl>
    <w:p>
      <w:pPr>
        <w:spacing w:after="80"/>
      </w:pPr>
      <w:r>
        <w:t xml:space="preserve"/>
      </w:r>
    </w:p>
    <w:p>
      <w:pPr>
        <w:spacing w:after="140" w:line="276"/>
      </w:pPr>
      <w:r>
        <w:rPr>
          <w:i/>
          <w:iCs/>
        </w:rPr>
        <w:t xml:space="preserve">Value domains. mechanic ∈ {Price Off, BOGO, Display, Feature, Combo}.</w:t>
      </w:r>
    </w:p>
    <w:p>
      <w:pPr>
        <w:spacing w:after="140" w:line="276"/>
      </w:pPr>
      <w:r>
        <w:rPr>
          <w:i/>
          <w:iCs/>
        </w:rPr>
        <w:t xml:space="preserve">Quality rules. realized_lift_pct equals (actual_units - baseline over the promo window) / baseline. Display promos should respect the 14-day minimum (RULE-M03). Most promos cluster at 10-25% depth, with a thin tail to 30%.</w:t>
      </w:r>
    </w:p>
    <w:p>
      <w:pPr>
        <w:pStyle w:val="Heading2"/>
        <w:spacing w:after="100" w:before="220"/>
      </w:pPr>
      <w:r>
        <w:t xml:space="preserve">4.7  trade_spend_ledger.csv</w:t>
      </w:r>
    </w:p>
    <w:p>
      <w:pPr>
        <w:spacing w:after="140" w:line="276"/>
      </w:pPr>
      <w:r>
        <w:t xml:space="preserve">Itemised trade spend. One row per spend transaction. Tied to a promo; lets the ROI engine break down where each rupee of investment went.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820"/>
        <w:gridCol w:w="1900"/>
        <w:gridCol w:w="3120"/>
        <w:gridCol w:w="1700"/>
      </w:tblGrid>
      <w:tr>
        <w:trPr>
          <w:tblHeader/>
        </w:trPr>
        <w:tc>
          <w:tcPr>
            <w:tcW w:type="dxa" w:w="1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Field</w:t>
            </w:r>
          </w:p>
        </w:tc>
        <w:tc>
          <w:tcPr>
            <w:tcW w:type="dxa" w:w="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Type</w:t>
            </w:r>
          </w:p>
        </w:tc>
        <w:tc>
          <w:tcPr>
            <w:tcW w:type="dxa" w:w="19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Constraint</w:t>
            </w:r>
          </w:p>
        </w:tc>
        <w:tc>
          <w:tcPr>
            <w:tcW w:type="dxa" w:w="31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Example</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transaction_id</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PK, TXN-#####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Unique identifier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TXN-00012</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promo_id</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FK → promo_history</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Linked promo</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PROMO-0142</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retailer_id</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FK → retailer_master</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Retailer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RET-001</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spend_type</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enum</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Type of trade spend</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Scan-Back</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amount</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float</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&gt; 0</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Amount, INR</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85000.00</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posted_date</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date</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ISO 8601</w:t>
            </w:r>
          </w:p>
        </w:tc>
        <w:tc>
          <w:tcPr>
            <w:tcW w:type="dxa" w:w="31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Booking date</w:t>
            </w:r>
          </w:p>
        </w:tc>
        <w:tc>
          <w:tcPr>
            <w:tcW w:type="dxa" w:w="17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2024-04-15</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period</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YYYY-Qn</w:t>
            </w:r>
          </w:p>
        </w:tc>
        <w:tc>
          <w:tcPr>
            <w:tcW w:type="dxa" w:w="31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Accounting period</w:t>
            </w:r>
          </w:p>
        </w:tc>
        <w:tc>
          <w:tcPr>
            <w:tcW w:type="dxa" w:w="17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2024-Q2</w:t>
            </w:r>
          </w:p>
        </w:tc>
      </w:tr>
    </w:tbl>
    <w:p>
      <w:pPr>
        <w:spacing w:after="80"/>
      </w:pPr>
      <w:r>
        <w:t xml:space="preserve"/>
      </w:r>
    </w:p>
    <w:p>
      <w:pPr>
        <w:spacing w:after="140" w:line="276"/>
      </w:pPr>
      <w:r>
        <w:rPr>
          <w:i/>
          <w:iCs/>
        </w:rPr>
        <w:t xml:space="preserve">Value domains. spend_type ∈ {Off-Invoice, Scan-Back, Slotting, Display Fee, Co-op}.</w:t>
      </w:r>
    </w:p>
    <w:p>
      <w:pPr>
        <w:spacing w:after="140" w:line="276"/>
      </w:pPr>
      <w:r>
        <w:rPr>
          <w:i/>
          <w:iCs/>
        </w:rPr>
        <w:t xml:space="preserve">Quality rules. The sum of amount across all transactions for a promo_id should equal that promo's actual_spend. posted_date should fall within the same fiscal quarter as period.</w:t>
      </w:r>
    </w:p>
    <w:p>
      <w:pPr>
        <w:pStyle w:val="Heading2"/>
        <w:spacing w:after="100" w:before="220"/>
      </w:pPr>
      <w:r>
        <w:t xml:space="preserve">4.8  business_rules.docx</w:t>
      </w:r>
    </w:p>
    <w:p>
      <w:pPr>
        <w:spacing w:after="140" w:line="276"/>
      </w:pPr>
      <w:r>
        <w:t xml:space="preserve">Human-authored policy document. Unstructured Word file containing roughly 14 rules across seven categories: Budget, Discount Depth, Mechanic Eligibility, Coverage, SKU Eligibility, Cannibalization, and Compliance. Parsed once at application startup by a Rules Parser, then exposed through a structured rules store with the schema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20"/>
        <w:gridCol w:w="820"/>
        <w:gridCol w:w="4220"/>
        <w:gridCol w:w="2500"/>
      </w:tblGrid>
      <w:tr>
        <w:trPr>
          <w:tblHeader/>
        </w:trPr>
        <w:tc>
          <w:tcPr>
            <w:tcW w:type="dxa" w:w="1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Field</w:t>
            </w:r>
          </w:p>
        </w:tc>
        <w:tc>
          <w:tcPr>
            <w:tcW w:type="dxa" w:w="8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Type</w:t>
            </w:r>
          </w:p>
        </w:tc>
        <w:tc>
          <w:tcPr>
            <w:tcW w:type="dxa" w:w="422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Description</w:t>
            </w:r>
          </w:p>
        </w:tc>
        <w:tc>
          <w:tcPr>
            <w:tcW w:type="dxa" w:w="25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6"/>
                <w:szCs w:val="16"/>
              </w:rPr>
              <w:t xml:space="preserve">Example</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rule_id</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42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Unique ID assigned in the docx</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RULE-D01</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category</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42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Policy category</w:t>
            </w:r>
          </w:p>
        </w:tc>
        <w:tc>
          <w:tcPr>
            <w:tcW w:type="dxa" w:w="25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Discount Depth</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statement</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42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The rule as written in prose</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Premium SKUs capped at 15% discount</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scope</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object</w:t>
            </w:r>
          </w:p>
        </w:tc>
        <w:tc>
          <w:tcPr>
            <w:tcW w:type="dxa" w:w="42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Which SKUs / retailers / periods apply</w:t>
            </w:r>
          </w:p>
        </w:tc>
        <w:tc>
          <w:tcPr>
            <w:tcW w:type="dxa" w:w="25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{category: Premium, retailer: *}</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predicate</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string</w:t>
            </w:r>
          </w:p>
        </w:tc>
        <w:tc>
          <w:tcPr>
            <w:tcW w:type="dxa" w:w="42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Machine-readable condition</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discount&lt;=0.15 IF price&gt;400</w:t>
            </w:r>
          </w:p>
        </w:tc>
      </w:tr>
      <w:tr>
        <w:tc>
          <w:tcPr>
            <w:tcW w:type="dxa" w:w="1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6"/>
                <w:szCs w:val="16"/>
              </w:rPr>
              <w:t xml:space="preserve">rationale</w:t>
            </w:r>
          </w:p>
        </w:tc>
        <w:tc>
          <w:tcPr>
            <w:tcW w:type="dxa" w:w="8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string</w:t>
            </w:r>
          </w:p>
        </w:tc>
        <w:tc>
          <w:tcPr>
            <w:tcW w:type="dxa" w:w="422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Why the rule exists</w:t>
            </w:r>
          </w:p>
        </w:tc>
        <w:tc>
          <w:tcPr>
            <w:tcW w:type="dxa" w:w="25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6"/>
                <w:szCs w:val="16"/>
              </w:rPr>
              <w:t xml:space="preserve">Protects premium brand equity</w:t>
            </w:r>
          </w:p>
        </w:tc>
      </w:tr>
      <w:tr>
        <w:tc>
          <w:tcPr>
            <w:tcW w:type="dxa" w:w="1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6"/>
                <w:szCs w:val="16"/>
              </w:rPr>
              <w:t xml:space="preserve">confidence</w:t>
            </w:r>
          </w:p>
        </w:tc>
        <w:tc>
          <w:tcPr>
            <w:tcW w:type="dxa" w:w="8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float</w:t>
            </w:r>
          </w:p>
        </w:tc>
        <w:tc>
          <w:tcPr>
            <w:tcW w:type="dxa" w:w="422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Parser confidence, 0-1</w:t>
            </w:r>
          </w:p>
        </w:tc>
        <w:tc>
          <w:tcPr>
            <w:tcW w:type="dxa" w:w="25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6"/>
                <w:szCs w:val="16"/>
              </w:rPr>
              <w:t xml:space="preserve">0.95</w:t>
            </w:r>
          </w:p>
        </w:tc>
      </w:tr>
    </w:tbl>
    <w:p>
      <w:pPr>
        <w:spacing w:after="80"/>
      </w:pPr>
      <w:r>
        <w:t xml:space="preserve"/>
      </w:r>
    </w:p>
    <w:p>
      <w:pPr>
        <w:spacing w:after="140" w:line="276"/>
      </w:pPr>
      <w:r>
        <w:rPr>
          <w:i/>
          <w:iCs/>
        </w:rPr>
        <w:t xml:space="preserve">Value domains for category include Budget, Discount Depth, Mechanic Eligibility, Coverage, SKU Eligibility, Cannibalization, Compliance.</w:t>
      </w:r>
    </w:p>
    <w:p>
      <w:pPr>
        <w:spacing w:after="140" w:line="276"/>
      </w:pPr>
      <w:r>
        <w:rPr>
          <w:i/>
          <w:iCs/>
        </w:rPr>
        <w:t xml:space="preserve">Quality rules. Rules with confidence &lt; 0.80 should be surfaced for human review at startup. Every rule must have a non-empty rationale, since the rationale is what the agent cites when explaining recommendations. Rule IDs are stable: once issued, a rule ID is never reassigned even if the rule is retired.</w:t>
      </w:r>
    </w:p>
    <w:p>
      <w:pPr>
        <w:pStyle w:val="Heading1"/>
        <w:spacing w:after="130" w:before="280"/>
      </w:pPr>
      <w:r>
        <w:t xml:space="preserve">5. Volume Targets for Synthetic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7"/>
                <w:szCs w:val="17"/>
              </w:rPr>
              <w:t xml:space="preserve">Source</w:t>
            </w:r>
          </w:p>
        </w:tc>
        <w:tc>
          <w:tcPr>
            <w:tcW w:type="dxa" w:w="19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7"/>
                <w:szCs w:val="17"/>
              </w:rPr>
              <w:t xml:space="preserve">Target volume</w:t>
            </w:r>
          </w:p>
        </w:tc>
        <w:tc>
          <w:tcPr>
            <w:tcW w:type="dxa" w:w="45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7"/>
                <w:szCs w:val="17"/>
              </w:rPr>
              <w:t xml:space="preserve">Notes</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7"/>
                <w:szCs w:val="17"/>
              </w:rPr>
              <w:t xml:space="preserve">sku_master.csv</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50 SKUs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3 brands × 2-3 categories × 3-5 SKUs each</w:t>
            </w:r>
          </w:p>
        </w:tc>
      </w:tr>
      <w:tr>
        <w:tc>
          <w:tcPr>
            <w:tcW w:type="dxa" w:w="2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7"/>
                <w:szCs w:val="17"/>
              </w:rPr>
              <w:t xml:space="preserve">retailer_master.csv</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20 retailers</w:t>
            </w:r>
          </w:p>
        </w:tc>
        <w:tc>
          <w:tcPr>
            <w:tcW w:type="dxa" w:w="456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3 channels × 4 regions</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7"/>
                <w:szCs w:val="17"/>
              </w:rPr>
              <w:t xml:space="preserve">calendar.csv</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104 weeks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2 fiscal years</w:t>
            </w:r>
          </w:p>
        </w:tc>
      </w:tr>
      <w:tr>
        <w:tc>
          <w:tcPr>
            <w:tcW w:type="dxa" w:w="2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7"/>
                <w:szCs w:val="17"/>
              </w:rPr>
              <w:t xml:space="preserve">cannibalization_matrix.csv</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~120 pairs</w:t>
            </w:r>
          </w:p>
        </w:tc>
        <w:tc>
          <w:tcPr>
            <w:tcW w:type="dxa" w:w="456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Selective; only meaningful relationships</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7"/>
                <w:szCs w:val="17"/>
              </w:rPr>
              <w:t xml:space="preserve">sales_history.csv</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~100,000 rows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50 × 20 × 104 minus inactive combinations</w:t>
            </w:r>
          </w:p>
        </w:tc>
      </w:tr>
      <w:tr>
        <w:tc>
          <w:tcPr>
            <w:tcW w:type="dxa" w:w="2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7"/>
                <w:szCs w:val="17"/>
              </w:rPr>
              <w:t xml:space="preserve">promo_history.csv</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~800 promos</w:t>
            </w:r>
          </w:p>
        </w:tc>
        <w:tc>
          <w:tcPr>
            <w:tcW w:type="dxa" w:w="456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~8-10% promo penetration</w:t>
            </w:r>
          </w:p>
        </w:tc>
      </w:tr>
      <w:tr>
        <w:tc>
          <w:tcPr>
            <w:tcW w:type="dxa" w:w="2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rFonts w:ascii="Courier New" w:cs="Courier New" w:eastAsia="Courier New" w:hAnsi="Courier New"/>
                <w:sz w:val="17"/>
                <w:szCs w:val="17"/>
              </w:rPr>
              <w:t xml:space="preserve">trade_spend_ledger.csv</w:t>
            </w:r>
          </w:p>
        </w:tc>
        <w:tc>
          <w:tcPr>
            <w:tcW w:type="dxa" w:w="19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~2,000 transactions</w:t>
            </w:r>
          </w:p>
        </w:tc>
        <w:tc>
          <w:tcPr>
            <w:tcW w:type="dxa" w:w="45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7"/>
                <w:szCs w:val="17"/>
              </w:rPr>
              <w:t xml:space="preserve">2-3 spend lines per promo on average</w:t>
            </w:r>
          </w:p>
        </w:tc>
      </w:tr>
      <w:tr>
        <w:tc>
          <w:tcPr>
            <w:tcW w:type="dxa" w:w="2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rFonts w:ascii="Courier New" w:cs="Courier New" w:eastAsia="Courier New" w:hAnsi="Courier New"/>
                <w:sz w:val="17"/>
                <w:szCs w:val="17"/>
              </w:rPr>
              <w:t xml:space="preserve">business_rules.docx</w:t>
            </w:r>
          </w:p>
        </w:tc>
        <w:tc>
          <w:tcPr>
            <w:tcW w:type="dxa" w:w="190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~14 rules</w:t>
            </w:r>
          </w:p>
        </w:tc>
        <w:tc>
          <w:tcPr>
            <w:tcW w:type="dxa" w:w="4560"/>
            <w:tcBorders>
              <w:top w:val="single" w:color="CCCCCC" w:sz="1"/>
              <w:left w:val="single" w:color="CCCCCC" w:sz="1"/>
              <w:bottom w:val="single" w:color="CCCCCC" w:sz="1"/>
              <w:right w:val="single" w:color="CCCCCC" w:sz="1"/>
            </w:tcBorders>
            <w:shd w:fill="F2F6FB" w:val="clear"/>
            <w:tcMar>
              <w:top w:type="dxa" w:w="70"/>
              <w:left w:type="dxa" w:w="110"/>
              <w:bottom w:type="dxa" w:w="70"/>
              <w:right w:type="dxa" w:w="110"/>
            </w:tcMar>
          </w:tcPr>
          <w:p>
            <w:r>
              <w:rPr>
                <w:sz w:val="17"/>
                <w:szCs w:val="17"/>
              </w:rPr>
              <w:t xml:space="preserve">2 per category on average</w:t>
            </w:r>
          </w:p>
        </w:tc>
      </w:tr>
    </w:tbl>
    <w:p>
      <w:pPr>
        <w:pStyle w:val="Heading1"/>
        <w:spacing w:after="130" w:before="280"/>
      </w:pPr>
      <w:r>
        <w:t xml:space="preserve">6. Generation Order</w:t>
      </w:r>
    </w:p>
    <w:p>
      <w:pPr>
        <w:spacing w:after="140" w:line="276"/>
      </w:pPr>
      <w:r>
        <w:t xml:space="preserve">To preserve referential integrity, synthetic data must be generated in this order:</w:t>
      </w:r>
    </w:p>
    <w:p>
      <w:pPr>
        <w:pStyle w:val="ListParagraph"/>
        <w:numPr>
          <w:ilvl w:val="0"/>
          <w:numId w:val="3"/>
        </w:numPr>
        <w:spacing w:after="70" w:line="270"/>
      </w:pPr>
      <w:r>
        <w:rPr>
          <w:rFonts w:ascii="Courier New" w:cs="Courier New" w:eastAsia="Courier New" w:hAnsi="Courier New"/>
        </w:rPr>
        <w:t xml:space="preserve">calendar.csv</w:t>
      </w:r>
      <w:r>
        <w:t xml:space="preserve"> — dimension, no dependencies</w:t>
      </w:r>
    </w:p>
    <w:p>
      <w:pPr>
        <w:pStyle w:val="ListParagraph"/>
        <w:numPr>
          <w:ilvl w:val="0"/>
          <w:numId w:val="3"/>
        </w:numPr>
        <w:spacing w:after="70" w:line="270"/>
      </w:pPr>
      <w:r>
        <w:rPr>
          <w:rFonts w:ascii="Courier New" w:cs="Courier New" w:eastAsia="Courier New" w:hAnsi="Courier New"/>
        </w:rPr>
        <w:t xml:space="preserve">sku_master.csv</w:t>
      </w:r>
      <w:r>
        <w:t xml:space="preserve"> — dimension, no dependencies</w:t>
      </w:r>
    </w:p>
    <w:p>
      <w:pPr>
        <w:pStyle w:val="ListParagraph"/>
        <w:numPr>
          <w:ilvl w:val="0"/>
          <w:numId w:val="3"/>
        </w:numPr>
        <w:spacing w:after="70" w:line="270"/>
      </w:pPr>
      <w:r>
        <w:rPr>
          <w:rFonts w:ascii="Courier New" w:cs="Courier New" w:eastAsia="Courier New" w:hAnsi="Courier New"/>
        </w:rPr>
        <w:t xml:space="preserve">retailer_master.csv</w:t>
      </w:r>
      <w:r>
        <w:t xml:space="preserve"> — dimension, no dependencies</w:t>
      </w:r>
    </w:p>
    <w:p>
      <w:pPr>
        <w:pStyle w:val="ListParagraph"/>
        <w:numPr>
          <w:ilvl w:val="0"/>
          <w:numId w:val="3"/>
        </w:numPr>
        <w:spacing w:after="70" w:line="270"/>
      </w:pPr>
      <w:r>
        <w:rPr>
          <w:rFonts w:ascii="Courier New" w:cs="Courier New" w:eastAsia="Courier New" w:hAnsi="Courier New"/>
        </w:rPr>
        <w:t xml:space="preserve">cannibalization_matrix.csv</w:t>
      </w:r>
      <w:r>
        <w:t xml:space="preserve"> — depends on SKU master</w:t>
      </w:r>
    </w:p>
    <w:p>
      <w:pPr>
        <w:pStyle w:val="ListParagraph"/>
        <w:numPr>
          <w:ilvl w:val="0"/>
          <w:numId w:val="3"/>
        </w:numPr>
        <w:spacing w:after="70" w:line="270"/>
      </w:pPr>
      <w:r>
        <w:rPr>
          <w:rFonts w:ascii="Courier New" w:cs="Courier New" w:eastAsia="Courier New" w:hAnsi="Courier New"/>
        </w:rPr>
        <w:t xml:space="preserve">promo_history.csv</w:t>
      </w:r>
      <w:r>
        <w:t xml:space="preserve"> — depends on SKU master, retailer master, calendar</w:t>
      </w:r>
    </w:p>
    <w:p>
      <w:pPr>
        <w:pStyle w:val="ListParagraph"/>
        <w:numPr>
          <w:ilvl w:val="0"/>
          <w:numId w:val="3"/>
        </w:numPr>
        <w:spacing w:after="70" w:line="270"/>
      </w:pPr>
      <w:r>
        <w:rPr>
          <w:rFonts w:ascii="Courier New" w:cs="Courier New" w:eastAsia="Courier New" w:hAnsi="Courier New"/>
        </w:rPr>
        <w:t xml:space="preserve">sales_history.csv</w:t>
      </w:r>
      <w:r>
        <w:t xml:space="preserve"> — depends on all dimensions plus promo history</w:t>
      </w:r>
    </w:p>
    <w:p>
      <w:pPr>
        <w:pStyle w:val="ListParagraph"/>
        <w:numPr>
          <w:ilvl w:val="0"/>
          <w:numId w:val="3"/>
        </w:numPr>
        <w:spacing w:after="70" w:line="270"/>
      </w:pPr>
      <w:r>
        <w:rPr>
          <w:rFonts w:ascii="Courier New" w:cs="Courier New" w:eastAsia="Courier New" w:hAnsi="Courier New"/>
        </w:rPr>
        <w:t xml:space="preserve">trade_spend_ledger.csv</w:t>
      </w:r>
      <w:r>
        <w:t xml:space="preserve"> — depends on promo history</w:t>
      </w:r>
    </w:p>
    <w:p>
      <w:pPr>
        <w:spacing w:after="140" w:line="276"/>
      </w:pPr>
      <w:r>
        <w:t xml:space="preserve">The business rules document is human-authored and is not generated as part of the synthetic pipeline. It is version-controlled separately.</w:t>
      </w:r>
    </w:p>
    <w:p>
      <w:pPr>
        <w:pStyle w:val="Heading1"/>
        <w:spacing w:after="130" w:before="280"/>
      </w:pPr>
      <w:r>
        <w:t xml:space="preserve">7. Versioning</w:t>
      </w:r>
    </w:p>
    <w:p>
      <w:pPr>
        <w:spacing w:after="140" w:line="276"/>
      </w:pPr>
      <w:r>
        <w:t xml:space="preserve">This dictionary is versioned alongside the data sources it describes. Any breaking change to a schema (renamed column, changed type, removed field) requires a version bump and a corresponding entry in CHANGELOG.md. Non-breaking additions (new optional fields, new enum values) require only a changelog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8"/>
                <w:szCs w:val="18"/>
              </w:rPr>
              <w:t xml:space="preserve">Version</w:t>
            </w:r>
          </w:p>
        </w:tc>
        <w:tc>
          <w:tcPr>
            <w:tcW w:type="dxa" w:w="160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8"/>
                <w:szCs w:val="18"/>
              </w:rPr>
              <w:t xml:space="preserve">Date</w:t>
            </w:r>
          </w:p>
        </w:tc>
        <w:tc>
          <w:tcPr>
            <w:tcW w:type="dxa" w:w="6360"/>
            <w:tcBorders>
              <w:top w:val="single" w:color="CCCCCC" w:sz="1"/>
              <w:left w:val="single" w:color="CCCCCC" w:sz="1"/>
              <w:bottom w:val="single" w:color="CCCCCC" w:sz="1"/>
              <w:right w:val="single" w:color="CCCCCC" w:sz="1"/>
            </w:tcBorders>
            <w:shd w:fill="1F3864" w:val="clear"/>
            <w:tcMar>
              <w:top w:type="dxa" w:w="70"/>
              <w:left w:type="dxa" w:w="110"/>
              <w:bottom w:type="dxa" w:w="70"/>
              <w:right w:type="dxa" w:w="110"/>
            </w:tcMar>
          </w:tcPr>
          <w:p>
            <w:r>
              <w:rPr>
                <w:b/>
                <w:bCs/>
                <w:color w:val="FFFFFF"/>
                <w:sz w:val="18"/>
                <w:szCs w:val="18"/>
              </w:rPr>
              <w:t xml:space="preserve">Change</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8"/>
                <w:szCs w:val="18"/>
              </w:rPr>
              <w:t xml:space="preserve">May 2026</w:t>
            </w:r>
          </w:p>
        </w:tc>
        <w:tc>
          <w:tcPr>
            <w:tcW w:type="dxa" w:w="6360"/>
            <w:tcBorders>
              <w:top w:val="single" w:color="CCCCCC" w:sz="1"/>
              <w:left w:val="single" w:color="CCCCCC" w:sz="1"/>
              <w:bottom w:val="single" w:color="CCCCCC" w:sz="1"/>
              <w:right w:val="single" w:color="CCCCCC" w:sz="1"/>
            </w:tcBorders>
            <w:shd w:fill="FFFFFF" w:val="clear"/>
            <w:tcMar>
              <w:top w:type="dxa" w:w="70"/>
              <w:left w:type="dxa" w:w="110"/>
              <w:bottom w:type="dxa" w:w="70"/>
              <w:right w:type="dxa" w:w="110"/>
            </w:tcMar>
          </w:tcPr>
          <w:p>
            <w:r>
              <w:rPr>
                <w:sz w:val="18"/>
                <w:szCs w:val="18"/>
              </w:rPr>
              <w:t xml:space="preserve">Initial publication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20"/>
      <w:outlineLvl w:val="1"/>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Dictionary — Trade Promotion ROI Optimizer</dc:title>
  <dc:creator>Prateek Srivastava</dc:creator>
  <dc:description>Data dictionary v1.0</dc:description>
  <cp:lastModifiedBy>Un-named</cp:lastModifiedBy>
  <cp:revision>1</cp:revision>
  <dcterms:created xsi:type="dcterms:W3CDTF">2026-05-28T16:14:45.860Z</dcterms:created>
  <dcterms:modified xsi:type="dcterms:W3CDTF">2026-05-28T16:14:45.861Z</dcterms:modified>
</cp:coreProperties>
</file>

<file path=docProps/custom.xml><?xml version="1.0" encoding="utf-8"?>
<Properties xmlns="http://schemas.openxmlformats.org/officeDocument/2006/custom-properties" xmlns:vt="http://schemas.openxmlformats.org/officeDocument/2006/docPropsVTypes"/>
</file>