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00"/>
        <w:jc w:val="center"/>
      </w:pPr>
      <w:r>
        <w:rPr>
          <w:b/>
          <w:color w:val="1F3964"/>
          <w:sz w:val="52"/>
        </w:rPr>
        <w:t>RGM Trade Promotion ROI Optimizer</w:t>
      </w:r>
    </w:p>
    <w:p>
      <w:pPr>
        <w:spacing w:after="600"/>
        <w:jc w:val="center"/>
      </w:pPr>
      <w:r>
        <w:rPr>
          <w:color w:val="2E75B6"/>
          <w:sz w:val="28"/>
        </w:rPr>
        <w:t>Step-by-Step Application Guide</w:t>
      </w:r>
    </w:p>
    <w:p>
      <w:pPr>
        <w:jc w:val="center"/>
        <w:pBdr>
          <w:bottom w:val="single" w:sz="12" w:space="1" w:color="2E75B6"/>
        </w:pBdr>
      </w:pPr>
    </w:p>
    <w:p>
      <w:pPr>
        <w:spacing w:before="200"/>
        <w:jc w:val="center"/>
      </w:pPr>
      <w:r>
        <w:rPr>
          <w:color w:val="7F7F7F"/>
          <w:sz w:val="20"/>
        </w:rPr>
        <w:t>v1.0  |  June 2026</w:t>
      </w:r>
    </w:p>
    <w:p>
      <w:r>
        <w:br w:type="page"/>
      </w:r>
    </w:p>
    <w:p>
      <w:pPr>
        <w:keepNext/>
        <w:spacing w:before="360" w:after="120"/>
        <w:pBdr>
          <w:bottom w:val="single" w:sz="6" w:space="1" w:color="2E75B6"/>
        </w:pBdr>
      </w:pPr>
      <w:r>
        <w:rPr>
          <w:b/>
          <w:color w:val="1F3964"/>
          <w:sz w:val="32"/>
        </w:rPr>
        <w:t>1.  Application Overview</w:t>
      </w:r>
    </w:p>
    <w:p>
      <w:pPr>
        <w:spacing w:after="120"/>
      </w:pPr>
      <w:r>
        <w:rPr>
          <w:sz w:val="22"/>
        </w:rPr>
        <w:t>The RGM Trade Promotion ROI Optimizer is a Streamlit-based AI co-pilot for Consumer Packaged Goods (CPG) Revenue Growth Management. It enables Trade Marketing Managers to plan, simulate, and compare quarterly promotional campaigns while enforcing compliance with all internal trade policies. The system uses Claude Sonnet (Anthropic) as an agentic planning engine with tool-use capabilities.</w:t>
      </w:r>
    </w:p>
    <w:p>
      <w:pPr>
        <w:keepNext/>
        <w:spacing w:before="240" w:after="80"/>
      </w:pPr>
      <w:r>
        <w:rPr>
          <w:b/>
          <w:color w:val="2E75B6"/>
          <w:sz w:val="26"/>
        </w:rPr>
        <w:t>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F3964"/>
            <w:vAlign w:val="center"/>
          </w:tcPr>
          <w:p>
            <w:pPr>
              <w:jc w:val="center"/>
            </w:pPr>
            <w:r>
              <w:rPr>
                <w:b/>
                <w:color w:val="FFFFFF"/>
                <w:sz w:val="20"/>
              </w:rPr>
              <w:t>Component</w:t>
            </w:r>
          </w:p>
        </w:tc>
        <w:tc>
          <w:tcPr>
            <w:tcW w:type="dxa" w:w="2835"/>
            <w:shd w:val="clear" w:color="auto" w:fill="1F3964"/>
            <w:vAlign w:val="center"/>
          </w:tcPr>
          <w:p>
            <w:pPr>
              <w:jc w:val="center"/>
            </w:pPr>
            <w:r>
              <w:rPr>
                <w:b/>
                <w:color w:val="FFFFFF"/>
                <w:sz w:val="20"/>
              </w:rPr>
              <w:t>Technology</w:t>
            </w:r>
          </w:p>
        </w:tc>
        <w:tc>
          <w:tcPr>
            <w:tcW w:type="dxa" w:w="1701"/>
            <w:shd w:val="clear" w:color="auto" w:fill="1F3964"/>
            <w:vAlign w:val="center"/>
          </w:tcPr>
          <w:p>
            <w:pPr>
              <w:jc w:val="center"/>
            </w:pPr>
            <w:r>
              <w:rPr>
                <w:b/>
                <w:color w:val="FFFFFF"/>
                <w:sz w:val="20"/>
              </w:rPr>
              <w:t>Version</w:t>
            </w:r>
          </w:p>
        </w:tc>
      </w:tr>
      <w:tr>
        <w:tc>
          <w:tcPr>
            <w:tcW w:type="dxa" w:w="2551"/>
            <w:shd w:val="clear" w:color="auto" w:fill="F2F2F2"/>
            <w:vAlign w:val="center"/>
          </w:tcPr>
          <w:p>
            <w:r>
              <w:rPr>
                <w:b/>
                <w:color w:val="1F3964"/>
                <w:sz w:val="20"/>
              </w:rPr>
              <w:t>UI Framework</w:t>
            </w:r>
          </w:p>
        </w:tc>
        <w:tc>
          <w:tcPr>
            <w:tcW w:type="dxa" w:w="2835"/>
            <w:shd w:val="clear" w:color="auto" w:fill="F2F2F2"/>
            <w:vAlign w:val="center"/>
          </w:tcPr>
          <w:p>
            <w:r>
              <w:rPr>
                <w:sz w:val="20"/>
              </w:rPr>
              <w:t>Streamlit</w:t>
            </w:r>
          </w:p>
        </w:tc>
        <w:tc>
          <w:tcPr>
            <w:tcW w:type="dxa" w:w="1701"/>
            <w:shd w:val="clear" w:color="auto" w:fill="F2F2F2"/>
            <w:vAlign w:val="center"/>
          </w:tcPr>
          <w:p>
            <w:r>
              <w:rPr>
                <w:sz w:val="20"/>
              </w:rPr>
              <w:t>≥ 1.35</w:t>
            </w:r>
          </w:p>
        </w:tc>
      </w:tr>
      <w:tr>
        <w:tc>
          <w:tcPr>
            <w:tcW w:type="dxa" w:w="2551"/>
            <w:shd w:val="clear" w:color="auto" w:fill="FFFFFF"/>
            <w:vAlign w:val="center"/>
          </w:tcPr>
          <w:p>
            <w:r>
              <w:rPr>
                <w:b/>
                <w:color w:val="1F3964"/>
                <w:sz w:val="20"/>
              </w:rPr>
              <w:t>AI Engine</w:t>
            </w:r>
          </w:p>
        </w:tc>
        <w:tc>
          <w:tcPr>
            <w:tcW w:type="dxa" w:w="2835"/>
            <w:shd w:val="clear" w:color="auto" w:fill="FFFFFF"/>
            <w:vAlign w:val="center"/>
          </w:tcPr>
          <w:p>
            <w:r>
              <w:rPr>
                <w:sz w:val="20"/>
              </w:rPr>
              <w:t>Claude Sonnet 4.6</w:t>
            </w:r>
          </w:p>
        </w:tc>
        <w:tc>
          <w:tcPr>
            <w:tcW w:type="dxa" w:w="1701"/>
            <w:shd w:val="clear" w:color="auto" w:fill="FFFFFF"/>
            <w:vAlign w:val="center"/>
          </w:tcPr>
          <w:p>
            <w:r>
              <w:rPr>
                <w:sz w:val="20"/>
              </w:rPr>
              <w:t>Anthropic SDK ≥ 0.40</w:t>
            </w:r>
          </w:p>
        </w:tc>
      </w:tr>
      <w:tr>
        <w:tc>
          <w:tcPr>
            <w:tcW w:type="dxa" w:w="2551"/>
            <w:shd w:val="clear" w:color="auto" w:fill="F2F2F2"/>
            <w:vAlign w:val="center"/>
          </w:tcPr>
          <w:p>
            <w:r>
              <w:rPr>
                <w:b/>
                <w:color w:val="1F3964"/>
                <w:sz w:val="20"/>
              </w:rPr>
              <w:t>Data Processing</w:t>
            </w:r>
          </w:p>
        </w:tc>
        <w:tc>
          <w:tcPr>
            <w:tcW w:type="dxa" w:w="2835"/>
            <w:shd w:val="clear" w:color="auto" w:fill="F2F2F2"/>
            <w:vAlign w:val="center"/>
          </w:tcPr>
          <w:p>
            <w:r>
              <w:rPr>
                <w:sz w:val="20"/>
              </w:rPr>
              <w:t>Pandas / NumPy</w:t>
            </w:r>
          </w:p>
        </w:tc>
        <w:tc>
          <w:tcPr>
            <w:tcW w:type="dxa" w:w="1701"/>
            <w:shd w:val="clear" w:color="auto" w:fill="F2F2F2"/>
            <w:vAlign w:val="center"/>
          </w:tcPr>
          <w:p>
            <w:r>
              <w:rPr>
                <w:sz w:val="20"/>
              </w:rPr>
              <w:t>≥ 2.0 / 1.26</w:t>
            </w:r>
          </w:p>
        </w:tc>
      </w:tr>
      <w:tr>
        <w:tc>
          <w:tcPr>
            <w:tcW w:type="dxa" w:w="2551"/>
            <w:shd w:val="clear" w:color="auto" w:fill="FFFFFF"/>
            <w:vAlign w:val="center"/>
          </w:tcPr>
          <w:p>
            <w:r>
              <w:rPr>
                <w:b/>
                <w:color w:val="1F3964"/>
                <w:sz w:val="20"/>
              </w:rPr>
              <w:t>Visualisation</w:t>
            </w:r>
          </w:p>
        </w:tc>
        <w:tc>
          <w:tcPr>
            <w:tcW w:type="dxa" w:w="2835"/>
            <w:shd w:val="clear" w:color="auto" w:fill="FFFFFF"/>
            <w:vAlign w:val="center"/>
          </w:tcPr>
          <w:p>
            <w:r>
              <w:rPr>
                <w:sz w:val="20"/>
              </w:rPr>
              <w:t>Plotly</w:t>
            </w:r>
          </w:p>
        </w:tc>
        <w:tc>
          <w:tcPr>
            <w:tcW w:type="dxa" w:w="1701"/>
            <w:shd w:val="clear" w:color="auto" w:fill="FFFFFF"/>
            <w:vAlign w:val="center"/>
          </w:tcPr>
          <w:p>
            <w:r>
              <w:rPr>
                <w:sz w:val="20"/>
              </w:rPr>
              <w:t>≥ 5.22</w:t>
            </w:r>
          </w:p>
        </w:tc>
      </w:tr>
      <w:tr>
        <w:tc>
          <w:tcPr>
            <w:tcW w:type="dxa" w:w="2551"/>
            <w:shd w:val="clear" w:color="auto" w:fill="F2F2F2"/>
            <w:vAlign w:val="center"/>
          </w:tcPr>
          <w:p>
            <w:r>
              <w:rPr>
                <w:b/>
                <w:color w:val="1F3964"/>
                <w:sz w:val="20"/>
              </w:rPr>
              <w:t>Document Parsing</w:t>
            </w:r>
          </w:p>
        </w:tc>
        <w:tc>
          <w:tcPr>
            <w:tcW w:type="dxa" w:w="2835"/>
            <w:shd w:val="clear" w:color="auto" w:fill="F2F2F2"/>
            <w:vAlign w:val="center"/>
          </w:tcPr>
          <w:p>
            <w:r>
              <w:rPr>
                <w:sz w:val="20"/>
              </w:rPr>
              <w:t>python-docx</w:t>
            </w:r>
          </w:p>
        </w:tc>
        <w:tc>
          <w:tcPr>
            <w:tcW w:type="dxa" w:w="1701"/>
            <w:shd w:val="clear" w:color="auto" w:fill="F2F2F2"/>
            <w:vAlign w:val="center"/>
          </w:tcPr>
          <w:p>
            <w:r>
              <w:rPr>
                <w:sz w:val="20"/>
              </w:rPr>
              <w:t>≥ 1.1</w:t>
            </w:r>
          </w:p>
        </w:tc>
      </w:tr>
    </w:tbl>
    <w:p>
      <w:pPr>
        <w:spacing w:after="120"/>
      </w:pPr>
    </w:p>
    <w:p>
      <w:pPr>
        <w:keepNext/>
        <w:spacing w:before="360" w:after="120"/>
        <w:pBdr>
          <w:bottom w:val="single" w:sz="6" w:space="1" w:color="2E75B6"/>
        </w:pBdr>
      </w:pPr>
      <w:r>
        <w:rPr>
          <w:b/>
          <w:color w:val="1F3964"/>
          <w:sz w:val="32"/>
        </w:rPr>
        <w:t>2.  Setup and Launch</w:t>
      </w:r>
    </w:p>
    <w:p>
      <w:pPr>
        <w:pStyle w:val="ListNumber"/>
        <w:spacing w:after="60"/>
        <w:ind w:left="283"/>
      </w:pPr>
      <w:r>
        <w:rPr>
          <w:sz w:val="22"/>
        </w:rPr>
        <w:t>Clone or download the project to your local machine.</w:t>
      </w:r>
    </w:p>
    <w:p>
      <w:pPr>
        <w:pStyle w:val="ListNumber"/>
        <w:spacing w:after="60"/>
        <w:ind w:left="283"/>
      </w:pPr>
      <w:r>
        <w:rPr>
          <w:sz w:val="22"/>
        </w:rPr>
        <w:t>Install all Python dependencies:</w:t>
      </w:r>
    </w:p>
    <w:p>
      <w:pPr>
        <w:spacing w:before="80" w:after="80"/>
        <w:ind w:left="567"/>
        <w:shd w:val="clear" w:color="auto" w:fill="F2F2F2"/>
      </w:pPr>
      <w:r>
        <w:rPr>
          <w:rFonts w:ascii="Courier New" w:hAnsi="Courier New"/>
          <w:color w:val="202020"/>
          <w:sz w:val="18"/>
        </w:rPr>
        <w:t>pip install -r requirements.txt</w:t>
      </w:r>
    </w:p>
    <w:p>
      <w:pPr>
        <w:pStyle w:val="ListNumber"/>
        <w:spacing w:after="60"/>
        <w:ind w:left="283"/>
      </w:pPr>
      <w:r>
        <w:rPr>
          <w:sz w:val="22"/>
        </w:rPr>
        <w:t>Launch the Streamlit application:</w:t>
      </w:r>
    </w:p>
    <w:p>
      <w:pPr>
        <w:spacing w:before="80" w:after="80"/>
        <w:ind w:left="567"/>
        <w:shd w:val="clear" w:color="auto" w:fill="F2F2F2"/>
      </w:pPr>
      <w:r>
        <w:rPr>
          <w:rFonts w:ascii="Courier New" w:hAnsi="Courier New"/>
          <w:color w:val="202020"/>
          <w:sz w:val="18"/>
        </w:rPr>
        <w:t>streamlit run app.py</w:t>
      </w:r>
    </w:p>
    <w:p>
      <w:pPr>
        <w:pStyle w:val="ListNumber"/>
        <w:spacing w:after="60"/>
        <w:ind w:left="283"/>
      </w:pPr>
      <w:r>
        <w:rPr>
          <w:sz w:val="22"/>
        </w:rPr>
        <w:t>In the application sidebar, enter your ANTHROPIC_API_KEY. This key is required for the Claude agent to function.</w:t>
      </w:r>
    </w:p>
    <w:p>
      <w:pPr>
        <w:pStyle w:val="ListNumber"/>
        <w:spacing w:after="60"/>
        <w:ind w:left="283"/>
      </w:pPr>
      <w:r>
        <w:rPr>
          <w:sz w:val="22"/>
        </w:rPr>
        <w:t>The app auto-loads all 7 CSV files from the data/ directory and parses business_rules.docx on startup. No manual file upload is needed.</w:t>
      </w:r>
    </w:p>
    <w:p>
      <w:pPr>
        <w:spacing w:before="120" w:after="120"/>
        <w:ind w:left="283" w:right="283"/>
        <w:shd w:val="clear" w:color="auto" w:fill="FFF2CC"/>
      </w:pPr>
      <w:r>
        <w:rPr>
          <w:i/>
          <w:color w:val="604000"/>
          <w:sz w:val="20"/>
        </w:rPr>
        <w:t xml:space="preserve">  ⚠️  Note:  To use real trade data, replace the CSV files in data/ with your own files that match the schemas documented in Section 4.</w:t>
      </w:r>
    </w:p>
    <w:p>
      <w:pPr>
        <w:keepNext/>
        <w:spacing w:before="360" w:after="120"/>
        <w:pBdr>
          <w:bottom w:val="single" w:sz="6" w:space="1" w:color="2E75B6"/>
        </w:pBdr>
      </w:pPr>
      <w:r>
        <w:rPr>
          <w:b/>
          <w:color w:val="1F3964"/>
          <w:sz w:val="32"/>
        </w:rPr>
        <w:t>3.  Project Structure</w:t>
      </w:r>
    </w:p>
    <w:p>
      <w:pPr>
        <w:spacing w:before="80" w:after="80"/>
        <w:ind w:left="567"/>
        <w:shd w:val="clear" w:color="auto" w:fill="F2F2F2"/>
      </w:pPr>
      <w:r>
        <w:rPr>
          <w:rFonts w:ascii="Courier New" w:hAnsi="Courier New"/>
          <w:color w:val="202020"/>
          <w:sz w:val="18"/>
        </w:rPr>
        <w:t>RGM_portfolio/</w:t>
        <w:br/>
        <w:t>├── app.py                    # Main Streamlit application</w:t>
        <w:br/>
        <w:t>├── requirements.txt</w:t>
        <w:br/>
        <w:t>├── business_rules.docx       # 17 compliance rules (parsed at runtime)</w:t>
        <w:br/>
        <w:t>├── agent/</w:t>
        <w:br/>
        <w:t>│   ├── agent_loop.py         # Claude agentic loop</w:t>
        <w:br/>
        <w:t>│   ├── tools.py              # 5 Claude tools + execution engine</w:t>
        <w:br/>
        <w:t>│   └── rules_parser.py       # Business rules DOCX parser</w:t>
        <w:br/>
        <w:t>├── analytics/</w:t>
        <w:br/>
        <w:t>│   ├── lift_model.py         # Price elasticity lift estimation</w:t>
        <w:br/>
        <w:t>│   ├── cannibalization.py    # Cross-SKU demand theft</w:t>
        <w:br/>
        <w:t>│   ├── roi_calculator.py     # ROI &amp; financial metrics</w:t>
        <w:br/>
        <w:t>│   └── compliance_check.py   # 17-rule compliance validator</w:t>
        <w:br/>
        <w:t>└── data/</w:t>
        <w:br/>
        <w:t xml:space="preserve">    ├── generate_data.py      # Synthetic data generator</w:t>
        <w:br/>
        <w:t xml:space="preserve">    ├── calendar.csv</w:t>
        <w:br/>
        <w:t xml:space="preserve">    ├── sku_master.csv</w:t>
        <w:br/>
        <w:t xml:space="preserve">    ├── retailer_master.csv</w:t>
        <w:br/>
        <w:t xml:space="preserve">    ├── sales_history.csv</w:t>
        <w:br/>
        <w:t xml:space="preserve">    ├── promo_history.csv</w:t>
        <w:br/>
        <w:t xml:space="preserve">    ├── cannibalization_matrix.csv</w:t>
        <w:br/>
        <w:t xml:space="preserve">    └── trade_spend_ledger.csv</w:t>
      </w:r>
    </w:p>
    <w:p>
      <w:pPr>
        <w:keepNext/>
        <w:spacing w:before="360" w:after="120"/>
        <w:pBdr>
          <w:bottom w:val="single" w:sz="6" w:space="1" w:color="2E75B6"/>
        </w:pBdr>
      </w:pPr>
      <w:r>
        <w:rPr>
          <w:b/>
          <w:color w:val="1F3964"/>
          <w:sz w:val="32"/>
        </w:rPr>
        <w:t>4.  Input Files and Field Schemas</w:t>
      </w:r>
    </w:p>
    <w:p>
      <w:pPr>
        <w:spacing w:after="120"/>
      </w:pPr>
      <w:r>
        <w:rPr>
          <w:sz w:val="22"/>
        </w:rPr>
        <w:t>The application reads seven CSV files. Each is described below with its full column schema and the downstream calculations that depend on each field.</w:t>
      </w:r>
    </w:p>
    <w:p>
      <w:pPr>
        <w:keepNext/>
        <w:spacing w:before="240" w:after="80"/>
      </w:pPr>
      <w:r>
        <w:rPr>
          <w:b/>
          <w:color w:val="2E75B6"/>
          <w:sz w:val="26"/>
        </w:rPr>
        <w:t>4.1  calendar.csv  (104 rows — one row per week)</w:t>
      </w:r>
    </w:p>
    <w:p>
      <w:pPr>
        <w:spacing w:after="120"/>
      </w:pPr>
      <w:r>
        <w:rPr>
          <w:sz w:val="22"/>
        </w:rPr>
        <w:t>Provides the time backbone for all analyses. Every other file links to this via week_id.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F3964"/>
            <w:vAlign w:val="center"/>
          </w:tcPr>
          <w:p>
            <w:pPr>
              <w:jc w:val="center"/>
            </w:pPr>
            <w:r>
              <w:rPr>
                <w:b/>
                <w:color w:val="FFFFFF"/>
                <w:sz w:val="20"/>
              </w:rPr>
              <w:t>Column</w:t>
            </w:r>
          </w:p>
        </w:tc>
        <w:tc>
          <w:tcPr>
            <w:tcW w:type="dxa" w:w="1134"/>
            <w:shd w:val="clear" w:color="auto" w:fill="1F3964"/>
            <w:vAlign w:val="center"/>
          </w:tcPr>
          <w:p>
            <w:pPr>
              <w:jc w:val="center"/>
            </w:pPr>
            <w:r>
              <w:rPr>
                <w:b/>
                <w:color w:val="FFFFFF"/>
                <w:sz w:val="20"/>
              </w:rPr>
              <w:t>Type</w:t>
            </w:r>
          </w:p>
        </w:tc>
        <w:tc>
          <w:tcPr>
            <w:tcW w:type="dxa" w:w="1701"/>
            <w:shd w:val="clear" w:color="auto" w:fill="1F3964"/>
            <w:vAlign w:val="center"/>
          </w:tcPr>
          <w:p>
            <w:pPr>
              <w:jc w:val="center"/>
            </w:pPr>
            <w:r>
              <w:rPr>
                <w:b/>
                <w:color w:val="FFFFFF"/>
                <w:sz w:val="20"/>
              </w:rPr>
              <w:t>Example</w:t>
            </w:r>
          </w:p>
        </w:tc>
        <w:tc>
          <w:tcPr>
            <w:tcW w:type="dxa" w:w="3402"/>
            <w:shd w:val="clear" w:color="auto" w:fill="1F3964"/>
            <w:vAlign w:val="center"/>
          </w:tcPr>
          <w:p>
            <w:pPr>
              <w:jc w:val="center"/>
            </w:pPr>
            <w:r>
              <w:rPr>
                <w:b/>
                <w:color w:val="FFFFFF"/>
                <w:sz w:val="20"/>
              </w:rPr>
              <w:t>Role</w:t>
            </w:r>
          </w:p>
        </w:tc>
      </w:tr>
      <w:tr>
        <w:tc>
          <w:tcPr>
            <w:tcW w:type="dxa" w:w="1984"/>
            <w:shd w:val="clear" w:color="auto" w:fill="F2F2F2"/>
            <w:vAlign w:val="center"/>
          </w:tcPr>
          <w:p>
            <w:r>
              <w:rPr>
                <w:b/>
                <w:color w:val="1F3964"/>
                <w:sz w:val="20"/>
              </w:rPr>
              <w:t>week_id</w:t>
            </w:r>
          </w:p>
        </w:tc>
        <w:tc>
          <w:tcPr>
            <w:tcW w:type="dxa" w:w="1134"/>
            <w:shd w:val="clear" w:color="auto" w:fill="F2F2F2"/>
            <w:vAlign w:val="center"/>
          </w:tcPr>
          <w:p>
            <w:r>
              <w:rPr>
                <w:sz w:val="20"/>
              </w:rPr>
              <w:t>string</w:t>
            </w:r>
          </w:p>
        </w:tc>
        <w:tc>
          <w:tcPr>
            <w:tcW w:type="dxa" w:w="1701"/>
            <w:shd w:val="clear" w:color="auto" w:fill="F2F2F2"/>
            <w:vAlign w:val="center"/>
          </w:tcPr>
          <w:p>
            <w:r>
              <w:rPr>
                <w:sz w:val="20"/>
              </w:rPr>
              <w:t>2025-W03</w:t>
            </w:r>
          </w:p>
        </w:tc>
        <w:tc>
          <w:tcPr>
            <w:tcW w:type="dxa" w:w="3402"/>
            <w:shd w:val="clear" w:color="auto" w:fill="F2F2F2"/>
            <w:vAlign w:val="center"/>
          </w:tcPr>
          <w:p>
            <w:r>
              <w:rPr>
                <w:sz w:val="20"/>
              </w:rPr>
              <w:t>Primary time key — FK from all time-series files</w:t>
            </w:r>
          </w:p>
        </w:tc>
      </w:tr>
      <w:tr>
        <w:tc>
          <w:tcPr>
            <w:tcW w:type="dxa" w:w="1984"/>
            <w:shd w:val="clear" w:color="auto" w:fill="FFFFFF"/>
            <w:vAlign w:val="center"/>
          </w:tcPr>
          <w:p>
            <w:r>
              <w:rPr>
                <w:b/>
                <w:color w:val="1F3964"/>
                <w:sz w:val="20"/>
              </w:rPr>
              <w:t>week_start_date</w:t>
            </w:r>
          </w:p>
        </w:tc>
        <w:tc>
          <w:tcPr>
            <w:tcW w:type="dxa" w:w="1134"/>
            <w:shd w:val="clear" w:color="auto" w:fill="FFFFFF"/>
            <w:vAlign w:val="center"/>
          </w:tcPr>
          <w:p>
            <w:r>
              <w:rPr>
                <w:sz w:val="20"/>
              </w:rPr>
              <w:t>date</w:t>
            </w:r>
          </w:p>
        </w:tc>
        <w:tc>
          <w:tcPr>
            <w:tcW w:type="dxa" w:w="1701"/>
            <w:shd w:val="clear" w:color="auto" w:fill="FFFFFF"/>
            <w:vAlign w:val="center"/>
          </w:tcPr>
          <w:p>
            <w:r>
              <w:rPr>
                <w:sz w:val="20"/>
              </w:rPr>
              <w:t>2025-01-13</w:t>
            </w:r>
          </w:p>
        </w:tc>
        <w:tc>
          <w:tcPr>
            <w:tcW w:type="dxa" w:w="3402"/>
            <w:shd w:val="clear" w:color="auto" w:fill="FFFFFF"/>
            <w:vAlign w:val="center"/>
          </w:tcPr>
          <w:p>
            <w:r>
              <w:rPr>
                <w:sz w:val="20"/>
              </w:rPr>
              <w:t>Monday of the week</w:t>
            </w:r>
          </w:p>
        </w:tc>
      </w:tr>
      <w:tr>
        <w:tc>
          <w:tcPr>
            <w:tcW w:type="dxa" w:w="1984"/>
            <w:shd w:val="clear" w:color="auto" w:fill="F2F2F2"/>
            <w:vAlign w:val="center"/>
          </w:tcPr>
          <w:p>
            <w:r>
              <w:rPr>
                <w:b/>
                <w:color w:val="1F3964"/>
                <w:sz w:val="20"/>
              </w:rPr>
              <w:t>week_end_date</w:t>
            </w:r>
          </w:p>
        </w:tc>
        <w:tc>
          <w:tcPr>
            <w:tcW w:type="dxa" w:w="1134"/>
            <w:shd w:val="clear" w:color="auto" w:fill="F2F2F2"/>
            <w:vAlign w:val="center"/>
          </w:tcPr>
          <w:p>
            <w:r>
              <w:rPr>
                <w:sz w:val="20"/>
              </w:rPr>
              <w:t>date</w:t>
            </w:r>
          </w:p>
        </w:tc>
        <w:tc>
          <w:tcPr>
            <w:tcW w:type="dxa" w:w="1701"/>
            <w:shd w:val="clear" w:color="auto" w:fill="F2F2F2"/>
            <w:vAlign w:val="center"/>
          </w:tcPr>
          <w:p>
            <w:r>
              <w:rPr>
                <w:sz w:val="20"/>
              </w:rPr>
              <w:t>2025-01-19</w:t>
            </w:r>
          </w:p>
        </w:tc>
        <w:tc>
          <w:tcPr>
            <w:tcW w:type="dxa" w:w="3402"/>
            <w:shd w:val="clear" w:color="auto" w:fill="F2F2F2"/>
            <w:vAlign w:val="center"/>
          </w:tcPr>
          <w:p>
            <w:r>
              <w:rPr>
                <w:sz w:val="20"/>
              </w:rPr>
              <w:t>Sunday of the week</w:t>
            </w:r>
          </w:p>
        </w:tc>
      </w:tr>
      <w:tr>
        <w:tc>
          <w:tcPr>
            <w:tcW w:type="dxa" w:w="1984"/>
            <w:shd w:val="clear" w:color="auto" w:fill="FFFFFF"/>
            <w:vAlign w:val="center"/>
          </w:tcPr>
          <w:p>
            <w:r>
              <w:rPr>
                <w:b/>
                <w:color w:val="1F3964"/>
                <w:sz w:val="20"/>
              </w:rPr>
              <w:t>month</w:t>
            </w:r>
          </w:p>
        </w:tc>
        <w:tc>
          <w:tcPr>
            <w:tcW w:type="dxa" w:w="1134"/>
            <w:shd w:val="clear" w:color="auto" w:fill="FFFFFF"/>
            <w:vAlign w:val="center"/>
          </w:tcPr>
          <w:p>
            <w:r>
              <w:rPr>
                <w:sz w:val="20"/>
              </w:rPr>
              <w:t>int</w:t>
            </w:r>
          </w:p>
        </w:tc>
        <w:tc>
          <w:tcPr>
            <w:tcW w:type="dxa" w:w="1701"/>
            <w:shd w:val="clear" w:color="auto" w:fill="FFFFFF"/>
            <w:vAlign w:val="center"/>
          </w:tcPr>
          <w:p>
            <w:r>
              <w:rPr>
                <w:sz w:val="20"/>
              </w:rPr>
              <w:t>1</w:t>
            </w:r>
          </w:p>
        </w:tc>
        <w:tc>
          <w:tcPr>
            <w:tcW w:type="dxa" w:w="3402"/>
            <w:shd w:val="clear" w:color="auto" w:fill="FFFFFF"/>
            <w:vAlign w:val="center"/>
          </w:tcPr>
          <w:p>
            <w:r>
              <w:rPr>
                <w:sz w:val="20"/>
              </w:rPr>
              <w:t>Calendar month</w:t>
            </w:r>
          </w:p>
        </w:tc>
      </w:tr>
      <w:tr>
        <w:tc>
          <w:tcPr>
            <w:tcW w:type="dxa" w:w="1984"/>
            <w:shd w:val="clear" w:color="auto" w:fill="F2F2F2"/>
            <w:vAlign w:val="center"/>
          </w:tcPr>
          <w:p>
            <w:r>
              <w:rPr>
                <w:b/>
                <w:color w:val="1F3964"/>
                <w:sz w:val="20"/>
              </w:rPr>
              <w:t>quarter</w:t>
            </w:r>
          </w:p>
        </w:tc>
        <w:tc>
          <w:tcPr>
            <w:tcW w:type="dxa" w:w="1134"/>
            <w:shd w:val="clear" w:color="auto" w:fill="F2F2F2"/>
            <w:vAlign w:val="center"/>
          </w:tcPr>
          <w:p>
            <w:r>
              <w:rPr>
                <w:sz w:val="20"/>
              </w:rPr>
              <w:t>string</w:t>
            </w:r>
          </w:p>
        </w:tc>
        <w:tc>
          <w:tcPr>
            <w:tcW w:type="dxa" w:w="1701"/>
            <w:shd w:val="clear" w:color="auto" w:fill="F2F2F2"/>
            <w:vAlign w:val="center"/>
          </w:tcPr>
          <w:p>
            <w:r>
              <w:rPr>
                <w:sz w:val="20"/>
              </w:rPr>
              <w:t>Q1-2025</w:t>
            </w:r>
          </w:p>
        </w:tc>
        <w:tc>
          <w:tcPr>
            <w:tcW w:type="dxa" w:w="3402"/>
            <w:shd w:val="clear" w:color="auto" w:fill="F2F2F2"/>
            <w:vAlign w:val="center"/>
          </w:tcPr>
          <w:p>
            <w:r>
              <w:rPr>
                <w:sz w:val="20"/>
              </w:rPr>
              <w:t>Fiscal quarter — primary planning unit</w:t>
            </w:r>
          </w:p>
        </w:tc>
      </w:tr>
      <w:tr>
        <w:tc>
          <w:tcPr>
            <w:tcW w:type="dxa" w:w="1984"/>
            <w:shd w:val="clear" w:color="auto" w:fill="FFFFFF"/>
            <w:vAlign w:val="center"/>
          </w:tcPr>
          <w:p>
            <w:r>
              <w:rPr>
                <w:b/>
                <w:color w:val="1F3964"/>
                <w:sz w:val="20"/>
              </w:rPr>
              <w:t>fiscal_year</w:t>
            </w:r>
          </w:p>
        </w:tc>
        <w:tc>
          <w:tcPr>
            <w:tcW w:type="dxa" w:w="1134"/>
            <w:shd w:val="clear" w:color="auto" w:fill="FFFFFF"/>
            <w:vAlign w:val="center"/>
          </w:tcPr>
          <w:p>
            <w:r>
              <w:rPr>
                <w:sz w:val="20"/>
              </w:rPr>
              <w:t>int</w:t>
            </w:r>
          </w:p>
        </w:tc>
        <w:tc>
          <w:tcPr>
            <w:tcW w:type="dxa" w:w="1701"/>
            <w:shd w:val="clear" w:color="auto" w:fill="FFFFFF"/>
            <w:vAlign w:val="center"/>
          </w:tcPr>
          <w:p>
            <w:r>
              <w:rPr>
                <w:sz w:val="20"/>
              </w:rPr>
              <w:t>2025</w:t>
            </w:r>
          </w:p>
        </w:tc>
        <w:tc>
          <w:tcPr>
            <w:tcW w:type="dxa" w:w="3402"/>
            <w:shd w:val="clear" w:color="auto" w:fill="FFFFFF"/>
            <w:vAlign w:val="center"/>
          </w:tcPr>
          <w:p>
            <w:r>
              <w:rPr>
                <w:sz w:val="20"/>
              </w:rPr>
              <w:t>Calendar year</w:t>
            </w:r>
          </w:p>
        </w:tc>
      </w:tr>
      <w:tr>
        <w:tc>
          <w:tcPr>
            <w:tcW w:type="dxa" w:w="1984"/>
            <w:shd w:val="clear" w:color="auto" w:fill="F2F2F2"/>
            <w:vAlign w:val="center"/>
          </w:tcPr>
          <w:p>
            <w:r>
              <w:rPr>
                <w:b/>
                <w:color w:val="1F3964"/>
                <w:sz w:val="20"/>
              </w:rPr>
              <w:t>season</w:t>
            </w:r>
          </w:p>
        </w:tc>
        <w:tc>
          <w:tcPr>
            <w:tcW w:type="dxa" w:w="1134"/>
            <w:shd w:val="clear" w:color="auto" w:fill="F2F2F2"/>
            <w:vAlign w:val="center"/>
          </w:tcPr>
          <w:p>
            <w:r>
              <w:rPr>
                <w:sz w:val="20"/>
              </w:rPr>
              <w:t>string</w:t>
            </w:r>
          </w:p>
        </w:tc>
        <w:tc>
          <w:tcPr>
            <w:tcW w:type="dxa" w:w="1701"/>
            <w:shd w:val="clear" w:color="auto" w:fill="F2F2F2"/>
            <w:vAlign w:val="center"/>
          </w:tcPr>
          <w:p>
            <w:r>
              <w:rPr>
                <w:sz w:val="20"/>
              </w:rPr>
              <w:t>Winter</w:t>
            </w:r>
          </w:p>
        </w:tc>
        <w:tc>
          <w:tcPr>
            <w:tcW w:type="dxa" w:w="3402"/>
            <w:shd w:val="clear" w:color="auto" w:fill="F2F2F2"/>
            <w:vAlign w:val="center"/>
          </w:tcPr>
          <w:p>
            <w:r>
              <w:rPr>
                <w:sz w:val="20"/>
              </w:rPr>
              <w:t>Winter / Summer / Monsoon / Festive</w:t>
            </w:r>
          </w:p>
        </w:tc>
      </w:tr>
      <w:tr>
        <w:tc>
          <w:tcPr>
            <w:tcW w:type="dxa" w:w="1984"/>
            <w:shd w:val="clear" w:color="auto" w:fill="FFFFFF"/>
            <w:vAlign w:val="center"/>
          </w:tcPr>
          <w:p>
            <w:r>
              <w:rPr>
                <w:b/>
                <w:color w:val="1F3964"/>
                <w:sz w:val="20"/>
              </w:rPr>
              <w:t>is_holiday_week</w:t>
            </w:r>
          </w:p>
        </w:tc>
        <w:tc>
          <w:tcPr>
            <w:tcW w:type="dxa" w:w="1134"/>
            <w:shd w:val="clear" w:color="auto" w:fill="FFFFFF"/>
            <w:vAlign w:val="center"/>
          </w:tcPr>
          <w:p>
            <w:r>
              <w:rPr>
                <w:sz w:val="20"/>
              </w:rPr>
              <w:t>bool</w:t>
            </w:r>
          </w:p>
        </w:tc>
        <w:tc>
          <w:tcPr>
            <w:tcW w:type="dxa" w:w="1701"/>
            <w:shd w:val="clear" w:color="auto" w:fill="FFFFFF"/>
            <w:vAlign w:val="center"/>
          </w:tcPr>
          <w:p>
            <w:r>
              <w:rPr>
                <w:sz w:val="20"/>
              </w:rPr>
              <w:t>True</w:t>
            </w:r>
          </w:p>
        </w:tc>
        <w:tc>
          <w:tcPr>
            <w:tcW w:type="dxa" w:w="3402"/>
            <w:shd w:val="clear" w:color="auto" w:fill="FFFFFF"/>
            <w:vAlign w:val="center"/>
          </w:tcPr>
          <w:p>
            <w:r>
              <w:rPr>
                <w:sz w:val="20"/>
              </w:rPr>
              <w:t>Holiday flag</w:t>
            </w:r>
          </w:p>
        </w:tc>
      </w:tr>
      <w:tr>
        <w:tc>
          <w:tcPr>
            <w:tcW w:type="dxa" w:w="1984"/>
            <w:shd w:val="clear" w:color="auto" w:fill="F2F2F2"/>
            <w:vAlign w:val="center"/>
          </w:tcPr>
          <w:p>
            <w:r>
              <w:rPr>
                <w:b/>
                <w:color w:val="1F3964"/>
                <w:sz w:val="20"/>
              </w:rPr>
              <w:t>festival_flag</w:t>
            </w:r>
          </w:p>
        </w:tc>
        <w:tc>
          <w:tcPr>
            <w:tcW w:type="dxa" w:w="1134"/>
            <w:shd w:val="clear" w:color="auto" w:fill="F2F2F2"/>
            <w:vAlign w:val="center"/>
          </w:tcPr>
          <w:p>
            <w:r>
              <w:rPr>
                <w:sz w:val="20"/>
              </w:rPr>
              <w:t>string</w:t>
            </w:r>
          </w:p>
        </w:tc>
        <w:tc>
          <w:tcPr>
            <w:tcW w:type="dxa" w:w="1701"/>
            <w:shd w:val="clear" w:color="auto" w:fill="F2F2F2"/>
            <w:vAlign w:val="center"/>
          </w:tcPr>
          <w:p>
            <w:r>
              <w:rPr>
                <w:sz w:val="20"/>
              </w:rPr>
              <w:t>Diwali</w:t>
            </w:r>
          </w:p>
        </w:tc>
        <w:tc>
          <w:tcPr>
            <w:tcW w:type="dxa" w:w="3402"/>
            <w:shd w:val="clear" w:color="auto" w:fill="F2F2F2"/>
            <w:vAlign w:val="center"/>
          </w:tcPr>
          <w:p>
            <w:r>
              <w:rPr>
                <w:sz w:val="20"/>
              </w:rPr>
              <w:t>Named festival or blank string</w:t>
            </w:r>
          </w:p>
        </w:tc>
      </w:tr>
    </w:tbl>
    <w:p>
      <w:pPr>
        <w:spacing w:after="120"/>
      </w:pPr>
    </w:p>
    <w:p>
      <w:pPr>
        <w:keepNext/>
        <w:spacing w:before="160" w:after="40"/>
      </w:pPr>
      <w:r>
        <w:rPr>
          <w:b/>
          <w:color w:val="1F3964"/>
          <w:sz w:val="22"/>
        </w:rPr>
        <w:t>Key Field Interactions</w:t>
      </w:r>
    </w:p>
    <w:p>
      <w:pPr>
        <w:pStyle w:val="ListBullet"/>
        <w:spacing w:after="60"/>
        <w:ind w:left="283"/>
      </w:pPr>
      <w:r>
        <w:rPr>
          <w:sz w:val="22"/>
        </w:rPr>
        <w:t>quarter  is the primary input for planning (e.g. 'Plan Q3-2025')</w:t>
      </w:r>
    </w:p>
    <w:p>
      <w:pPr>
        <w:pStyle w:val="ListBullet"/>
        <w:spacing w:after="60"/>
        <w:ind w:left="283"/>
      </w:pPr>
      <w:r>
        <w:rPr>
          <w:sz w:val="22"/>
        </w:rPr>
        <w:t>season  feeds the SEASON_MULTIPLIER into lift calculations</w:t>
      </w:r>
    </w:p>
    <w:p>
      <w:pPr>
        <w:pStyle w:val="ListBullet"/>
        <w:spacing w:after="60"/>
        <w:ind w:left="283"/>
      </w:pPr>
      <w:r>
        <w:rPr>
          <w:sz w:val="22"/>
        </w:rPr>
        <w:t>festival_flag ≠ ''  triggers FESTIVAL_MULTIPLIER = 1.40× and enforces Rule C02 (≥ 6 unique SKUs on promo)</w:t>
      </w:r>
    </w:p>
    <w:p>
      <w:pPr>
        <w:keepNext/>
        <w:spacing w:before="240" w:after="80"/>
      </w:pPr>
      <w:r>
        <w:rPr>
          <w:b/>
          <w:color w:val="2E75B6"/>
          <w:sz w:val="26"/>
        </w:rPr>
        <w:t>4.2  sku_master.csv  (50 rows — one row per product)</w:t>
      </w:r>
    </w:p>
    <w:p>
      <w:pPr>
        <w:spacing w:after="120"/>
      </w:pPr>
      <w:r>
        <w:rPr>
          <w:sz w:val="22"/>
        </w:rPr>
        <w:t>Master product catalogue. Drives eligibility checks, margin calculations, and elasticity lookups.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F3964"/>
            <w:vAlign w:val="center"/>
          </w:tcPr>
          <w:p>
            <w:pPr>
              <w:jc w:val="center"/>
            </w:pPr>
            <w:r>
              <w:rPr>
                <w:b/>
                <w:color w:val="FFFFFF"/>
                <w:sz w:val="20"/>
              </w:rPr>
              <w:t>Column</w:t>
            </w:r>
          </w:p>
        </w:tc>
        <w:tc>
          <w:tcPr>
            <w:tcW w:type="dxa" w:w="1134"/>
            <w:shd w:val="clear" w:color="auto" w:fill="1F3964"/>
            <w:vAlign w:val="center"/>
          </w:tcPr>
          <w:p>
            <w:pPr>
              <w:jc w:val="center"/>
            </w:pPr>
            <w:r>
              <w:rPr>
                <w:b/>
                <w:color w:val="FFFFFF"/>
                <w:sz w:val="20"/>
              </w:rPr>
              <w:t>Type</w:t>
            </w:r>
          </w:p>
        </w:tc>
        <w:tc>
          <w:tcPr>
            <w:tcW w:type="dxa" w:w="1984"/>
            <w:shd w:val="clear" w:color="auto" w:fill="1F3964"/>
            <w:vAlign w:val="center"/>
          </w:tcPr>
          <w:p>
            <w:pPr>
              <w:jc w:val="center"/>
            </w:pPr>
            <w:r>
              <w:rPr>
                <w:b/>
                <w:color w:val="FFFFFF"/>
                <w:sz w:val="20"/>
              </w:rPr>
              <w:t>Example</w:t>
            </w:r>
          </w:p>
        </w:tc>
        <w:tc>
          <w:tcPr>
            <w:tcW w:type="dxa" w:w="3118"/>
            <w:shd w:val="clear" w:color="auto" w:fill="1F3964"/>
            <w:vAlign w:val="center"/>
          </w:tcPr>
          <w:p>
            <w:pPr>
              <w:jc w:val="center"/>
            </w:pPr>
            <w:r>
              <w:rPr>
                <w:b/>
                <w:color w:val="FFFFFF"/>
                <w:sz w:val="20"/>
              </w:rPr>
              <w:t>Role</w:t>
            </w:r>
          </w:p>
        </w:tc>
      </w:tr>
      <w:tr>
        <w:tc>
          <w:tcPr>
            <w:tcW w:type="dxa" w:w="1984"/>
            <w:shd w:val="clear" w:color="auto" w:fill="F2F2F2"/>
            <w:vAlign w:val="center"/>
          </w:tcPr>
          <w:p>
            <w:r>
              <w:rPr>
                <w:b/>
                <w:color w:val="1F3964"/>
                <w:sz w:val="20"/>
              </w:rPr>
              <w:t>sku_id</w:t>
            </w:r>
          </w:p>
        </w:tc>
        <w:tc>
          <w:tcPr>
            <w:tcW w:type="dxa" w:w="1134"/>
            <w:shd w:val="clear" w:color="auto" w:fill="F2F2F2"/>
            <w:vAlign w:val="center"/>
          </w:tcPr>
          <w:p>
            <w:r>
              <w:rPr>
                <w:sz w:val="20"/>
              </w:rPr>
              <w:t>string</w:t>
            </w:r>
          </w:p>
        </w:tc>
        <w:tc>
          <w:tcPr>
            <w:tcW w:type="dxa" w:w="1984"/>
            <w:shd w:val="clear" w:color="auto" w:fill="F2F2F2"/>
            <w:vAlign w:val="center"/>
          </w:tcPr>
          <w:p>
            <w:r>
              <w:rPr>
                <w:sz w:val="20"/>
              </w:rPr>
              <w:t>SKU-0001</w:t>
            </w:r>
          </w:p>
        </w:tc>
        <w:tc>
          <w:tcPr>
            <w:tcW w:type="dxa" w:w="3118"/>
            <w:shd w:val="clear" w:color="auto" w:fill="F2F2F2"/>
            <w:vAlign w:val="center"/>
          </w:tcPr>
          <w:p>
            <w:r>
              <w:rPr>
                <w:sz w:val="20"/>
              </w:rPr>
              <w:t>Primary key</w:t>
            </w:r>
          </w:p>
        </w:tc>
      </w:tr>
      <w:tr>
        <w:tc>
          <w:tcPr>
            <w:tcW w:type="dxa" w:w="1984"/>
            <w:shd w:val="clear" w:color="auto" w:fill="FFFFFF"/>
            <w:vAlign w:val="center"/>
          </w:tcPr>
          <w:p>
            <w:r>
              <w:rPr>
                <w:b/>
                <w:color w:val="1F3964"/>
                <w:sz w:val="20"/>
              </w:rPr>
              <w:t>sku_name</w:t>
            </w:r>
          </w:p>
        </w:tc>
        <w:tc>
          <w:tcPr>
            <w:tcW w:type="dxa" w:w="1134"/>
            <w:shd w:val="clear" w:color="auto" w:fill="FFFFFF"/>
            <w:vAlign w:val="center"/>
          </w:tcPr>
          <w:p>
            <w:r>
              <w:rPr>
                <w:sz w:val="20"/>
              </w:rPr>
              <w:t>string</w:t>
            </w:r>
          </w:p>
        </w:tc>
        <w:tc>
          <w:tcPr>
            <w:tcW w:type="dxa" w:w="1984"/>
            <w:shd w:val="clear" w:color="auto" w:fill="FFFFFF"/>
            <w:vAlign w:val="center"/>
          </w:tcPr>
          <w:p>
            <w:r>
              <w:rPr>
                <w:sz w:val="20"/>
              </w:rPr>
              <w:t>Premium Coffee 250g</w:t>
            </w:r>
          </w:p>
        </w:tc>
        <w:tc>
          <w:tcPr>
            <w:tcW w:type="dxa" w:w="3118"/>
            <w:shd w:val="clear" w:color="auto" w:fill="FFFFFF"/>
            <w:vAlign w:val="center"/>
          </w:tcPr>
          <w:p>
            <w:r>
              <w:rPr>
                <w:sz w:val="20"/>
              </w:rPr>
              <w:t>Display name</w:t>
            </w:r>
          </w:p>
        </w:tc>
      </w:tr>
      <w:tr>
        <w:tc>
          <w:tcPr>
            <w:tcW w:type="dxa" w:w="1984"/>
            <w:shd w:val="clear" w:color="auto" w:fill="F2F2F2"/>
            <w:vAlign w:val="center"/>
          </w:tcPr>
          <w:p>
            <w:r>
              <w:rPr>
                <w:b/>
                <w:color w:val="1F3964"/>
                <w:sz w:val="20"/>
              </w:rPr>
              <w:t>brand</w:t>
            </w:r>
          </w:p>
        </w:tc>
        <w:tc>
          <w:tcPr>
            <w:tcW w:type="dxa" w:w="1134"/>
            <w:shd w:val="clear" w:color="auto" w:fill="F2F2F2"/>
            <w:vAlign w:val="center"/>
          </w:tcPr>
          <w:p>
            <w:r>
              <w:rPr>
                <w:sz w:val="20"/>
              </w:rPr>
              <w:t>string</w:t>
            </w:r>
          </w:p>
        </w:tc>
        <w:tc>
          <w:tcPr>
            <w:tcW w:type="dxa" w:w="1984"/>
            <w:shd w:val="clear" w:color="auto" w:fill="F2F2F2"/>
            <w:vAlign w:val="center"/>
          </w:tcPr>
          <w:p>
            <w:r>
              <w:rPr>
                <w:sz w:val="20"/>
              </w:rPr>
              <w:t>BrewCo</w:t>
            </w:r>
          </w:p>
        </w:tc>
        <w:tc>
          <w:tcPr>
            <w:tcW w:type="dxa" w:w="3118"/>
            <w:shd w:val="clear" w:color="auto" w:fill="F2F2F2"/>
            <w:vAlign w:val="center"/>
          </w:tcPr>
          <w:p>
            <w:r>
              <w:rPr>
                <w:sz w:val="20"/>
              </w:rPr>
              <w:t>Brand grouping (5 brands)</w:t>
            </w:r>
          </w:p>
        </w:tc>
      </w:tr>
      <w:tr>
        <w:tc>
          <w:tcPr>
            <w:tcW w:type="dxa" w:w="1984"/>
            <w:shd w:val="clear" w:color="auto" w:fill="FFFFFF"/>
            <w:vAlign w:val="center"/>
          </w:tcPr>
          <w:p>
            <w:r>
              <w:rPr>
                <w:b/>
                <w:color w:val="1F3964"/>
                <w:sz w:val="20"/>
              </w:rPr>
              <w:t>category</w:t>
            </w:r>
          </w:p>
        </w:tc>
        <w:tc>
          <w:tcPr>
            <w:tcW w:type="dxa" w:w="1134"/>
            <w:shd w:val="clear" w:color="auto" w:fill="FFFFFF"/>
            <w:vAlign w:val="center"/>
          </w:tcPr>
          <w:p>
            <w:r>
              <w:rPr>
                <w:sz w:val="20"/>
              </w:rPr>
              <w:t>string</w:t>
            </w:r>
          </w:p>
        </w:tc>
        <w:tc>
          <w:tcPr>
            <w:tcW w:type="dxa" w:w="1984"/>
            <w:shd w:val="clear" w:color="auto" w:fill="FFFFFF"/>
            <w:vAlign w:val="center"/>
          </w:tcPr>
          <w:p>
            <w:r>
              <w:rPr>
                <w:sz w:val="20"/>
              </w:rPr>
              <w:t>Coffee</w:t>
            </w:r>
          </w:p>
        </w:tc>
        <w:tc>
          <w:tcPr>
            <w:tcW w:type="dxa" w:w="3118"/>
            <w:shd w:val="clear" w:color="auto" w:fill="FFFFFF"/>
            <w:vAlign w:val="center"/>
          </w:tcPr>
          <w:p>
            <w:r>
              <w:rPr>
                <w:sz w:val="20"/>
              </w:rPr>
              <w:t>Drives price elasticity lookup</w:t>
            </w:r>
          </w:p>
        </w:tc>
      </w:tr>
      <w:tr>
        <w:tc>
          <w:tcPr>
            <w:tcW w:type="dxa" w:w="1984"/>
            <w:shd w:val="clear" w:color="auto" w:fill="F2F2F2"/>
            <w:vAlign w:val="center"/>
          </w:tcPr>
          <w:p>
            <w:r>
              <w:rPr>
                <w:b/>
                <w:color w:val="1F3964"/>
                <w:sz w:val="20"/>
              </w:rPr>
              <w:t>subcategory</w:t>
            </w:r>
          </w:p>
        </w:tc>
        <w:tc>
          <w:tcPr>
            <w:tcW w:type="dxa" w:w="1134"/>
            <w:shd w:val="clear" w:color="auto" w:fill="F2F2F2"/>
            <w:vAlign w:val="center"/>
          </w:tcPr>
          <w:p>
            <w:r>
              <w:rPr>
                <w:sz w:val="20"/>
              </w:rPr>
              <w:t>string</w:t>
            </w:r>
          </w:p>
        </w:tc>
        <w:tc>
          <w:tcPr>
            <w:tcW w:type="dxa" w:w="1984"/>
            <w:shd w:val="clear" w:color="auto" w:fill="F2F2F2"/>
            <w:vAlign w:val="center"/>
          </w:tcPr>
          <w:p>
            <w:r>
              <w:rPr>
                <w:sz w:val="20"/>
              </w:rPr>
              <w:t>Premium Ground</w:t>
            </w:r>
          </w:p>
        </w:tc>
        <w:tc>
          <w:tcPr>
            <w:tcW w:type="dxa" w:w="3118"/>
            <w:shd w:val="clear" w:color="auto" w:fill="F2F2F2"/>
            <w:vAlign w:val="center"/>
          </w:tcPr>
          <w:p>
            <w:r>
              <w:rPr>
                <w:sz w:val="20"/>
              </w:rPr>
              <w:t>Finer product grouping</w:t>
            </w:r>
          </w:p>
        </w:tc>
      </w:tr>
      <w:tr>
        <w:tc>
          <w:tcPr>
            <w:tcW w:type="dxa" w:w="1984"/>
            <w:shd w:val="clear" w:color="auto" w:fill="FFFFFF"/>
            <w:vAlign w:val="center"/>
          </w:tcPr>
          <w:p>
            <w:r>
              <w:rPr>
                <w:b/>
                <w:color w:val="1F3964"/>
                <w:sz w:val="20"/>
              </w:rPr>
              <w:t>pack_size</w:t>
            </w:r>
          </w:p>
        </w:tc>
        <w:tc>
          <w:tcPr>
            <w:tcW w:type="dxa" w:w="1134"/>
            <w:shd w:val="clear" w:color="auto" w:fill="FFFFFF"/>
            <w:vAlign w:val="center"/>
          </w:tcPr>
          <w:p>
            <w:r>
              <w:rPr>
                <w:sz w:val="20"/>
              </w:rPr>
              <w:t>string</w:t>
            </w:r>
          </w:p>
        </w:tc>
        <w:tc>
          <w:tcPr>
            <w:tcW w:type="dxa" w:w="1984"/>
            <w:shd w:val="clear" w:color="auto" w:fill="FFFFFF"/>
            <w:vAlign w:val="center"/>
          </w:tcPr>
          <w:p>
            <w:r>
              <w:rPr>
                <w:sz w:val="20"/>
              </w:rPr>
              <w:t>250g</w:t>
            </w:r>
          </w:p>
        </w:tc>
        <w:tc>
          <w:tcPr>
            <w:tcW w:type="dxa" w:w="3118"/>
            <w:shd w:val="clear" w:color="auto" w:fill="FFFFFF"/>
            <w:vAlign w:val="center"/>
          </w:tcPr>
          <w:p>
            <w:r>
              <w:rPr>
                <w:sz w:val="20"/>
              </w:rPr>
              <w:t>Package quantity</w:t>
            </w:r>
          </w:p>
        </w:tc>
      </w:tr>
      <w:tr>
        <w:tc>
          <w:tcPr>
            <w:tcW w:type="dxa" w:w="1984"/>
            <w:shd w:val="clear" w:color="auto" w:fill="F2F2F2"/>
            <w:vAlign w:val="center"/>
          </w:tcPr>
          <w:p>
            <w:r>
              <w:rPr>
                <w:b/>
                <w:color w:val="1F3964"/>
                <w:sz w:val="20"/>
              </w:rPr>
              <w:t>list_price</w:t>
            </w:r>
          </w:p>
        </w:tc>
        <w:tc>
          <w:tcPr>
            <w:tcW w:type="dxa" w:w="1134"/>
            <w:shd w:val="clear" w:color="auto" w:fill="F2F2F2"/>
            <w:vAlign w:val="center"/>
          </w:tcPr>
          <w:p>
            <w:r>
              <w:rPr>
                <w:sz w:val="20"/>
              </w:rPr>
              <w:t>float</w:t>
            </w:r>
          </w:p>
        </w:tc>
        <w:tc>
          <w:tcPr>
            <w:tcW w:type="dxa" w:w="1984"/>
            <w:shd w:val="clear" w:color="auto" w:fill="F2F2F2"/>
            <w:vAlign w:val="center"/>
          </w:tcPr>
          <w:p>
            <w:r>
              <w:rPr>
                <w:sz w:val="20"/>
              </w:rPr>
              <w:t>₹ 450.00</w:t>
            </w:r>
          </w:p>
        </w:tc>
        <w:tc>
          <w:tcPr>
            <w:tcW w:type="dxa" w:w="3118"/>
            <w:shd w:val="clear" w:color="auto" w:fill="F2F2F2"/>
            <w:vAlign w:val="center"/>
          </w:tcPr>
          <w:p>
            <w:r>
              <w:rPr>
                <w:sz w:val="20"/>
              </w:rPr>
              <w:t>Undiscounted selling price</w:t>
            </w:r>
          </w:p>
        </w:tc>
      </w:tr>
      <w:tr>
        <w:tc>
          <w:tcPr>
            <w:tcW w:type="dxa" w:w="1984"/>
            <w:shd w:val="clear" w:color="auto" w:fill="FFFFFF"/>
            <w:vAlign w:val="center"/>
          </w:tcPr>
          <w:p>
            <w:r>
              <w:rPr>
                <w:b/>
                <w:color w:val="1F3964"/>
                <w:sz w:val="20"/>
              </w:rPr>
              <w:t>cogs_per_unit</w:t>
            </w:r>
          </w:p>
        </w:tc>
        <w:tc>
          <w:tcPr>
            <w:tcW w:type="dxa" w:w="1134"/>
            <w:shd w:val="clear" w:color="auto" w:fill="FFFFFF"/>
            <w:vAlign w:val="center"/>
          </w:tcPr>
          <w:p>
            <w:r>
              <w:rPr>
                <w:sz w:val="20"/>
              </w:rPr>
              <w:t>float</w:t>
            </w:r>
          </w:p>
        </w:tc>
        <w:tc>
          <w:tcPr>
            <w:tcW w:type="dxa" w:w="1984"/>
            <w:shd w:val="clear" w:color="auto" w:fill="FFFFFF"/>
            <w:vAlign w:val="center"/>
          </w:tcPr>
          <w:p>
            <w:r>
              <w:rPr>
                <w:sz w:val="20"/>
              </w:rPr>
              <w:t>₹ 215.00</w:t>
            </w:r>
          </w:p>
        </w:tc>
        <w:tc>
          <w:tcPr>
            <w:tcW w:type="dxa" w:w="3118"/>
            <w:shd w:val="clear" w:color="auto" w:fill="FFFFFF"/>
            <w:vAlign w:val="center"/>
          </w:tcPr>
          <w:p>
            <w:r>
              <w:rPr>
                <w:sz w:val="20"/>
              </w:rPr>
              <w:t>Cost of goods — used in GP calculation</w:t>
            </w:r>
          </w:p>
        </w:tc>
      </w:tr>
      <w:tr>
        <w:tc>
          <w:tcPr>
            <w:tcW w:type="dxa" w:w="1984"/>
            <w:shd w:val="clear" w:color="auto" w:fill="F2F2F2"/>
            <w:vAlign w:val="center"/>
          </w:tcPr>
          <w:p>
            <w:r>
              <w:rPr>
                <w:b/>
                <w:color w:val="1F3964"/>
                <w:sz w:val="20"/>
              </w:rPr>
              <w:t>gross_margin_pct</w:t>
            </w:r>
          </w:p>
        </w:tc>
        <w:tc>
          <w:tcPr>
            <w:tcW w:type="dxa" w:w="1134"/>
            <w:shd w:val="clear" w:color="auto" w:fill="F2F2F2"/>
            <w:vAlign w:val="center"/>
          </w:tcPr>
          <w:p>
            <w:r>
              <w:rPr>
                <w:sz w:val="20"/>
              </w:rPr>
              <w:t>float</w:t>
            </w:r>
          </w:p>
        </w:tc>
        <w:tc>
          <w:tcPr>
            <w:tcW w:type="dxa" w:w="1984"/>
            <w:shd w:val="clear" w:color="auto" w:fill="F2F2F2"/>
            <w:vAlign w:val="center"/>
          </w:tcPr>
          <w:p>
            <w:r>
              <w:rPr>
                <w:sz w:val="20"/>
              </w:rPr>
              <w:t>0.52</w:t>
            </w:r>
          </w:p>
        </w:tc>
        <w:tc>
          <w:tcPr>
            <w:tcW w:type="dxa" w:w="3118"/>
            <w:shd w:val="clear" w:color="auto" w:fill="F2F2F2"/>
            <w:vAlign w:val="center"/>
          </w:tcPr>
          <w:p>
            <w:r>
              <w:rPr>
                <w:sz w:val="20"/>
              </w:rPr>
              <w:t>Gates BOGO eligibility (must be &gt; 0.40)</w:t>
            </w:r>
          </w:p>
        </w:tc>
      </w:tr>
      <w:tr>
        <w:tc>
          <w:tcPr>
            <w:tcW w:type="dxa" w:w="1984"/>
            <w:shd w:val="clear" w:color="auto" w:fill="FFFFFF"/>
            <w:vAlign w:val="center"/>
          </w:tcPr>
          <w:p>
            <w:r>
              <w:rPr>
                <w:b/>
                <w:color w:val="1F3964"/>
                <w:sz w:val="20"/>
              </w:rPr>
              <w:t>launch_date</w:t>
            </w:r>
          </w:p>
        </w:tc>
        <w:tc>
          <w:tcPr>
            <w:tcW w:type="dxa" w:w="1134"/>
            <w:shd w:val="clear" w:color="auto" w:fill="FFFFFF"/>
            <w:vAlign w:val="center"/>
          </w:tcPr>
          <w:p>
            <w:r>
              <w:rPr>
                <w:sz w:val="20"/>
              </w:rPr>
              <w:t>date</w:t>
            </w:r>
          </w:p>
        </w:tc>
        <w:tc>
          <w:tcPr>
            <w:tcW w:type="dxa" w:w="1984"/>
            <w:shd w:val="clear" w:color="auto" w:fill="FFFFFF"/>
            <w:vAlign w:val="center"/>
          </w:tcPr>
          <w:p>
            <w:r>
              <w:rPr>
                <w:sz w:val="20"/>
              </w:rPr>
              <w:t>2023-06-01</w:t>
            </w:r>
          </w:p>
        </w:tc>
        <w:tc>
          <w:tcPr>
            <w:tcW w:type="dxa" w:w="3118"/>
            <w:shd w:val="clear" w:color="auto" w:fill="FFFFFF"/>
            <w:vAlign w:val="center"/>
          </w:tcPr>
          <w:p>
            <w:r>
              <w:rPr>
                <w:sz w:val="20"/>
              </w:rPr>
              <w:t>SKU must be ≥ 90 days old before promo</w:t>
            </w:r>
          </w:p>
        </w:tc>
      </w:tr>
    </w:tbl>
    <w:p>
      <w:pPr>
        <w:spacing w:after="120"/>
      </w:pPr>
    </w:p>
    <w:p>
      <w:pPr>
        <w:keepNext/>
        <w:spacing w:before="160" w:after="40"/>
      </w:pPr>
      <w:r>
        <w:rPr>
          <w:b/>
          <w:color w:val="1F3964"/>
          <w:sz w:val="22"/>
        </w:rPr>
        <w:t>Key Field Interactions</w:t>
      </w:r>
    </w:p>
    <w:p>
      <w:pPr>
        <w:pStyle w:val="ListBullet"/>
        <w:spacing w:after="60"/>
        <w:ind w:left="283"/>
      </w:pPr>
      <w:r>
        <w:rPr>
          <w:sz w:val="22"/>
        </w:rPr>
        <w:t>category → elasticity: Coffee=2.5, Tea=2.0, Juice=1.5, Chips=2.0, Biscuits=1.8</w:t>
      </w:r>
    </w:p>
    <w:p>
      <w:pPr>
        <w:pStyle w:val="ListBullet"/>
        <w:spacing w:after="60"/>
        <w:ind w:left="283"/>
      </w:pPr>
      <w:r>
        <w:rPr>
          <w:sz w:val="22"/>
        </w:rPr>
        <w:t>list_price &gt; ₹400  caps discount at 15% (Rule D01)</w:t>
      </w:r>
    </w:p>
    <w:p>
      <w:pPr>
        <w:pStyle w:val="ListBullet"/>
        <w:spacing w:after="60"/>
        <w:ind w:left="283"/>
      </w:pPr>
      <w:r>
        <w:rPr>
          <w:sz w:val="22"/>
        </w:rPr>
        <w:t>gross_margin_pct ≤ 0.40  blocks BOGO mechanic (Rule M01)</w:t>
      </w:r>
    </w:p>
    <w:p>
      <w:pPr>
        <w:pStyle w:val="ListBullet"/>
        <w:spacing w:after="60"/>
        <w:ind w:left="283"/>
      </w:pPr>
      <w:r>
        <w:rPr>
          <w:sz w:val="22"/>
        </w:rPr>
        <w:t>launch_date vs. promo start date  must be ≥ 90 days apart (Rule E01)</w:t>
      </w:r>
    </w:p>
    <w:p>
      <w:pPr>
        <w:pStyle w:val="ListBullet"/>
        <w:spacing w:after="60"/>
        <w:ind w:left="283"/>
      </w:pPr>
      <w:r>
        <w:rPr>
          <w:sz w:val="22"/>
        </w:rPr>
        <w:t>brand + subcategory match  → high cannibalization (0.15–0.30 cross-elasticity)</w:t>
      </w:r>
    </w:p>
    <w:p>
      <w:pPr>
        <w:keepNext/>
        <w:spacing w:before="240" w:after="80"/>
      </w:pPr>
      <w:r>
        <w:rPr>
          <w:b/>
          <w:color w:val="2E75B6"/>
          <w:sz w:val="26"/>
        </w:rPr>
        <w:t>4.3  retailer_master.csv  (20 rows — one row per retailer)</w:t>
      </w:r>
    </w:p>
    <w:p>
      <w:pPr>
        <w:spacing w:after="120"/>
      </w:pPr>
      <w:r>
        <w:rPr>
          <w:sz w:val="22"/>
        </w:rPr>
        <w:t>Trade partner directory. Tier classification drives most budget compliance rules.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54"/>
            <w:shd w:val="clear" w:color="auto" w:fill="1F3964"/>
            <w:vAlign w:val="center"/>
          </w:tcPr>
          <w:p>
            <w:pPr>
              <w:jc w:val="center"/>
            </w:pPr>
            <w:r>
              <w:rPr>
                <w:b/>
                <w:color w:val="FFFFFF"/>
                <w:sz w:val="20"/>
              </w:rPr>
              <w:t>Column</w:t>
            </w:r>
          </w:p>
        </w:tc>
        <w:tc>
          <w:tcPr>
            <w:tcW w:type="dxa" w:w="1134"/>
            <w:shd w:val="clear" w:color="auto" w:fill="1F3964"/>
            <w:vAlign w:val="center"/>
          </w:tcPr>
          <w:p>
            <w:pPr>
              <w:jc w:val="center"/>
            </w:pPr>
            <w:r>
              <w:rPr>
                <w:b/>
                <w:color w:val="FFFFFF"/>
                <w:sz w:val="20"/>
              </w:rPr>
              <w:t>Type</w:t>
            </w:r>
          </w:p>
        </w:tc>
        <w:tc>
          <w:tcPr>
            <w:tcW w:type="dxa" w:w="1701"/>
            <w:shd w:val="clear" w:color="auto" w:fill="1F3964"/>
            <w:vAlign w:val="center"/>
          </w:tcPr>
          <w:p>
            <w:pPr>
              <w:jc w:val="center"/>
            </w:pPr>
            <w:r>
              <w:rPr>
                <w:b/>
                <w:color w:val="FFFFFF"/>
                <w:sz w:val="20"/>
              </w:rPr>
              <w:t>Example</w:t>
            </w:r>
          </w:p>
        </w:tc>
        <w:tc>
          <w:tcPr>
            <w:tcW w:type="dxa" w:w="3231"/>
            <w:shd w:val="clear" w:color="auto" w:fill="1F3964"/>
            <w:vAlign w:val="center"/>
          </w:tcPr>
          <w:p>
            <w:pPr>
              <w:jc w:val="center"/>
            </w:pPr>
            <w:r>
              <w:rPr>
                <w:b/>
                <w:color w:val="FFFFFF"/>
                <w:sz w:val="20"/>
              </w:rPr>
              <w:t>Role</w:t>
            </w:r>
          </w:p>
        </w:tc>
      </w:tr>
      <w:tr>
        <w:tc>
          <w:tcPr>
            <w:tcW w:type="dxa" w:w="2154"/>
            <w:shd w:val="clear" w:color="auto" w:fill="F2F2F2"/>
            <w:vAlign w:val="center"/>
          </w:tcPr>
          <w:p>
            <w:r>
              <w:rPr>
                <w:b/>
                <w:color w:val="1F3964"/>
                <w:sz w:val="20"/>
              </w:rPr>
              <w:t>retailer_id</w:t>
            </w:r>
          </w:p>
        </w:tc>
        <w:tc>
          <w:tcPr>
            <w:tcW w:type="dxa" w:w="1134"/>
            <w:shd w:val="clear" w:color="auto" w:fill="F2F2F2"/>
            <w:vAlign w:val="center"/>
          </w:tcPr>
          <w:p>
            <w:r>
              <w:rPr>
                <w:sz w:val="20"/>
              </w:rPr>
              <w:t>string</w:t>
            </w:r>
          </w:p>
        </w:tc>
        <w:tc>
          <w:tcPr>
            <w:tcW w:type="dxa" w:w="1701"/>
            <w:shd w:val="clear" w:color="auto" w:fill="F2F2F2"/>
            <w:vAlign w:val="center"/>
          </w:tcPr>
          <w:p>
            <w:r>
              <w:rPr>
                <w:sz w:val="20"/>
              </w:rPr>
              <w:t>RET-001</w:t>
            </w:r>
          </w:p>
        </w:tc>
        <w:tc>
          <w:tcPr>
            <w:tcW w:type="dxa" w:w="3231"/>
            <w:shd w:val="clear" w:color="auto" w:fill="F2F2F2"/>
            <w:vAlign w:val="center"/>
          </w:tcPr>
          <w:p>
            <w:r>
              <w:rPr>
                <w:sz w:val="20"/>
              </w:rPr>
              <w:t>Primary key</w:t>
            </w:r>
          </w:p>
        </w:tc>
      </w:tr>
      <w:tr>
        <w:tc>
          <w:tcPr>
            <w:tcW w:type="dxa" w:w="2154"/>
            <w:shd w:val="clear" w:color="auto" w:fill="FFFFFF"/>
            <w:vAlign w:val="center"/>
          </w:tcPr>
          <w:p>
            <w:r>
              <w:rPr>
                <w:b/>
                <w:color w:val="1F3964"/>
                <w:sz w:val="20"/>
              </w:rPr>
              <w:t>retailer_name</w:t>
            </w:r>
          </w:p>
        </w:tc>
        <w:tc>
          <w:tcPr>
            <w:tcW w:type="dxa" w:w="1134"/>
            <w:shd w:val="clear" w:color="auto" w:fill="FFFFFF"/>
            <w:vAlign w:val="center"/>
          </w:tcPr>
          <w:p>
            <w:r>
              <w:rPr>
                <w:sz w:val="20"/>
              </w:rPr>
              <w:t>string</w:t>
            </w:r>
          </w:p>
        </w:tc>
        <w:tc>
          <w:tcPr>
            <w:tcW w:type="dxa" w:w="1701"/>
            <w:shd w:val="clear" w:color="auto" w:fill="FFFFFF"/>
            <w:vAlign w:val="center"/>
          </w:tcPr>
          <w:p>
            <w:r>
              <w:rPr>
                <w:sz w:val="20"/>
              </w:rPr>
              <w:t>BigMart</w:t>
            </w:r>
          </w:p>
        </w:tc>
        <w:tc>
          <w:tcPr>
            <w:tcW w:type="dxa" w:w="3231"/>
            <w:shd w:val="clear" w:color="auto" w:fill="FFFFFF"/>
            <w:vAlign w:val="center"/>
          </w:tcPr>
          <w:p>
            <w:r>
              <w:rPr>
                <w:sz w:val="20"/>
              </w:rPr>
              <w:t>Display name</w:t>
            </w:r>
          </w:p>
        </w:tc>
      </w:tr>
      <w:tr>
        <w:tc>
          <w:tcPr>
            <w:tcW w:type="dxa" w:w="2154"/>
            <w:shd w:val="clear" w:color="auto" w:fill="F2F2F2"/>
            <w:vAlign w:val="center"/>
          </w:tcPr>
          <w:p>
            <w:r>
              <w:rPr>
                <w:b/>
                <w:color w:val="1F3964"/>
                <w:sz w:val="20"/>
              </w:rPr>
              <w:t>channel</w:t>
            </w:r>
          </w:p>
        </w:tc>
        <w:tc>
          <w:tcPr>
            <w:tcW w:type="dxa" w:w="1134"/>
            <w:shd w:val="clear" w:color="auto" w:fill="F2F2F2"/>
            <w:vAlign w:val="center"/>
          </w:tcPr>
          <w:p>
            <w:r>
              <w:rPr>
                <w:sz w:val="20"/>
              </w:rPr>
              <w:t>string</w:t>
            </w:r>
          </w:p>
        </w:tc>
        <w:tc>
          <w:tcPr>
            <w:tcW w:type="dxa" w:w="1701"/>
            <w:shd w:val="clear" w:color="auto" w:fill="F2F2F2"/>
            <w:vAlign w:val="center"/>
          </w:tcPr>
          <w:p>
            <w:r>
              <w:rPr>
                <w:sz w:val="20"/>
              </w:rPr>
              <w:t>Modern Trade</w:t>
            </w:r>
          </w:p>
        </w:tc>
        <w:tc>
          <w:tcPr>
            <w:tcW w:type="dxa" w:w="3231"/>
            <w:shd w:val="clear" w:color="auto" w:fill="F2F2F2"/>
            <w:vAlign w:val="center"/>
          </w:tcPr>
          <w:p>
            <w:r>
              <w:rPr>
                <w:sz w:val="20"/>
              </w:rPr>
              <w:t>Modern Trade / E-commerce / Traditional Trade</w:t>
            </w:r>
          </w:p>
        </w:tc>
      </w:tr>
      <w:tr>
        <w:tc>
          <w:tcPr>
            <w:tcW w:type="dxa" w:w="2154"/>
            <w:shd w:val="clear" w:color="auto" w:fill="FFFFFF"/>
            <w:vAlign w:val="center"/>
          </w:tcPr>
          <w:p>
            <w:r>
              <w:rPr>
                <w:b/>
                <w:color w:val="1F3964"/>
                <w:sz w:val="20"/>
              </w:rPr>
              <w:t>region</w:t>
            </w:r>
          </w:p>
        </w:tc>
        <w:tc>
          <w:tcPr>
            <w:tcW w:type="dxa" w:w="1134"/>
            <w:shd w:val="clear" w:color="auto" w:fill="FFFFFF"/>
            <w:vAlign w:val="center"/>
          </w:tcPr>
          <w:p>
            <w:r>
              <w:rPr>
                <w:sz w:val="20"/>
              </w:rPr>
              <w:t>string</w:t>
            </w:r>
          </w:p>
        </w:tc>
        <w:tc>
          <w:tcPr>
            <w:tcW w:type="dxa" w:w="1701"/>
            <w:shd w:val="clear" w:color="auto" w:fill="FFFFFF"/>
            <w:vAlign w:val="center"/>
          </w:tcPr>
          <w:p>
            <w:r>
              <w:rPr>
                <w:sz w:val="20"/>
              </w:rPr>
              <w:t>North</w:t>
            </w:r>
          </w:p>
        </w:tc>
        <w:tc>
          <w:tcPr>
            <w:tcW w:type="dxa" w:w="3231"/>
            <w:shd w:val="clear" w:color="auto" w:fill="FFFFFF"/>
            <w:vAlign w:val="center"/>
          </w:tcPr>
          <w:p>
            <w:r>
              <w:rPr>
                <w:sz w:val="20"/>
              </w:rPr>
              <w:t>Geographic segment</w:t>
            </w:r>
          </w:p>
        </w:tc>
      </w:tr>
      <w:tr>
        <w:tc>
          <w:tcPr>
            <w:tcW w:type="dxa" w:w="2154"/>
            <w:shd w:val="clear" w:color="auto" w:fill="F2F2F2"/>
            <w:vAlign w:val="center"/>
          </w:tcPr>
          <w:p>
            <w:r>
              <w:rPr>
                <w:b/>
                <w:color w:val="1F3964"/>
                <w:sz w:val="20"/>
              </w:rPr>
              <w:t>tier</w:t>
            </w:r>
          </w:p>
        </w:tc>
        <w:tc>
          <w:tcPr>
            <w:tcW w:type="dxa" w:w="1134"/>
            <w:shd w:val="clear" w:color="auto" w:fill="F2F2F2"/>
            <w:vAlign w:val="center"/>
          </w:tcPr>
          <w:p>
            <w:r>
              <w:rPr>
                <w:sz w:val="20"/>
              </w:rPr>
              <w:t>string</w:t>
            </w:r>
          </w:p>
        </w:tc>
        <w:tc>
          <w:tcPr>
            <w:tcW w:type="dxa" w:w="1701"/>
            <w:shd w:val="clear" w:color="auto" w:fill="F2F2F2"/>
            <w:vAlign w:val="center"/>
          </w:tcPr>
          <w:p>
            <w:r>
              <w:rPr>
                <w:sz w:val="20"/>
              </w:rPr>
              <w:t>Tier 1</w:t>
            </w:r>
          </w:p>
        </w:tc>
        <w:tc>
          <w:tcPr>
            <w:tcW w:type="dxa" w:w="3231"/>
            <w:shd w:val="clear" w:color="auto" w:fill="F2F2F2"/>
            <w:vAlign w:val="center"/>
          </w:tcPr>
          <w:p>
            <w:r>
              <w:rPr>
                <w:sz w:val="20"/>
              </w:rPr>
              <w:t>Tier 1 (5), Tier 2 (10), Tier 3 (5)</w:t>
            </w:r>
          </w:p>
        </w:tc>
      </w:tr>
      <w:tr>
        <w:tc>
          <w:tcPr>
            <w:tcW w:type="dxa" w:w="2154"/>
            <w:shd w:val="clear" w:color="auto" w:fill="FFFFFF"/>
            <w:vAlign w:val="center"/>
          </w:tcPr>
          <w:p>
            <w:r>
              <w:rPr>
                <w:b/>
                <w:color w:val="1F3964"/>
                <w:sz w:val="20"/>
              </w:rPr>
              <w:t>coop_funding_pct</w:t>
            </w:r>
          </w:p>
        </w:tc>
        <w:tc>
          <w:tcPr>
            <w:tcW w:type="dxa" w:w="1134"/>
            <w:shd w:val="clear" w:color="auto" w:fill="FFFFFF"/>
            <w:vAlign w:val="center"/>
          </w:tcPr>
          <w:p>
            <w:r>
              <w:rPr>
                <w:sz w:val="20"/>
              </w:rPr>
              <w:t>float</w:t>
            </w:r>
          </w:p>
        </w:tc>
        <w:tc>
          <w:tcPr>
            <w:tcW w:type="dxa" w:w="1701"/>
            <w:shd w:val="clear" w:color="auto" w:fill="FFFFFF"/>
            <w:vAlign w:val="center"/>
          </w:tcPr>
          <w:p>
            <w:r>
              <w:rPr>
                <w:sz w:val="20"/>
              </w:rPr>
              <w:t>0.20</w:t>
            </w:r>
          </w:p>
        </w:tc>
        <w:tc>
          <w:tcPr>
            <w:tcW w:type="dxa" w:w="3231"/>
            <w:shd w:val="clear" w:color="auto" w:fill="FFFFFF"/>
            <w:vAlign w:val="center"/>
          </w:tcPr>
          <w:p>
            <w:r>
              <w:rPr>
                <w:sz w:val="20"/>
              </w:rPr>
              <w:t>% of discount funded by retailer</w:t>
            </w:r>
          </w:p>
        </w:tc>
      </w:tr>
      <w:tr>
        <w:tc>
          <w:tcPr>
            <w:tcW w:type="dxa" w:w="2154"/>
            <w:shd w:val="clear" w:color="auto" w:fill="F2F2F2"/>
            <w:vAlign w:val="center"/>
          </w:tcPr>
          <w:p>
            <w:r>
              <w:rPr>
                <w:b/>
                <w:color w:val="1F3964"/>
                <w:sz w:val="20"/>
              </w:rPr>
              <w:t>avg_weekly_volume_units</w:t>
            </w:r>
          </w:p>
        </w:tc>
        <w:tc>
          <w:tcPr>
            <w:tcW w:type="dxa" w:w="1134"/>
            <w:shd w:val="clear" w:color="auto" w:fill="F2F2F2"/>
            <w:vAlign w:val="center"/>
          </w:tcPr>
          <w:p>
            <w:r>
              <w:rPr>
                <w:sz w:val="20"/>
              </w:rPr>
              <w:t>int</w:t>
            </w:r>
          </w:p>
        </w:tc>
        <w:tc>
          <w:tcPr>
            <w:tcW w:type="dxa" w:w="1701"/>
            <w:shd w:val="clear" w:color="auto" w:fill="F2F2F2"/>
            <w:vAlign w:val="center"/>
          </w:tcPr>
          <w:p>
            <w:r>
              <w:rPr>
                <w:sz w:val="20"/>
              </w:rPr>
              <w:t>8500</w:t>
            </w:r>
          </w:p>
        </w:tc>
        <w:tc>
          <w:tcPr>
            <w:tcW w:type="dxa" w:w="3231"/>
            <w:shd w:val="clear" w:color="auto" w:fill="F2F2F2"/>
            <w:vAlign w:val="center"/>
          </w:tcPr>
          <w:p>
            <w:r>
              <w:rPr>
                <w:sz w:val="20"/>
              </w:rPr>
              <w:t>Context for volume expectations</w:t>
            </w:r>
          </w:p>
        </w:tc>
      </w:tr>
    </w:tbl>
    <w:p>
      <w:pPr>
        <w:spacing w:after="120"/>
      </w:pPr>
    </w:p>
    <w:p>
      <w:pPr>
        <w:keepNext/>
        <w:spacing w:before="160" w:after="40"/>
      </w:pPr>
      <w:r>
        <w:rPr>
          <w:b/>
          <w:color w:val="1F3964"/>
          <w:sz w:val="22"/>
        </w:rPr>
        <w:t>Key Field Interactions</w:t>
      </w:r>
    </w:p>
    <w:p>
      <w:pPr>
        <w:pStyle w:val="ListBullet"/>
        <w:spacing w:after="60"/>
        <w:ind w:left="283"/>
      </w:pPr>
      <w:r>
        <w:rPr>
          <w:sz w:val="22"/>
        </w:rPr>
        <w:t>tier = 'Tier 1'  → ≥ 4 promos/quarter required (Rule C01); 35–55% of total budget (Rule B02)</w:t>
      </w:r>
    </w:p>
    <w:p>
      <w:pPr>
        <w:pStyle w:val="ListBullet"/>
        <w:spacing w:after="60"/>
        <w:ind w:left="283"/>
      </w:pPr>
      <w:r>
        <w:rPr>
          <w:sz w:val="22"/>
        </w:rPr>
        <w:t>coop_funding_pct  → brand_investment = total_units × discount × list_price × (1 − coop_pct)</w:t>
      </w:r>
    </w:p>
    <w:p>
      <w:pPr>
        <w:pStyle w:val="ListBullet"/>
        <w:spacing w:after="60"/>
        <w:ind w:left="283"/>
      </w:pPr>
      <w:r>
        <w:rPr>
          <w:sz w:val="22"/>
        </w:rPr>
        <w:t>Lift multiplier by tier: Tier 1 = 1.5×, Tier 2 = 0.8×, Tier 3 = 0.25×</w:t>
      </w:r>
    </w:p>
    <w:p>
      <w:pPr>
        <w:keepNext/>
        <w:spacing w:before="240" w:after="80"/>
      </w:pPr>
      <w:r>
        <w:rPr>
          <w:b/>
          <w:color w:val="2E75B6"/>
          <w:sz w:val="26"/>
        </w:rPr>
        <w:t>4.4  sales_history.csv  (~97,000 rows)</w:t>
      </w:r>
    </w:p>
    <w:p>
      <w:pPr>
        <w:spacing w:after="120"/>
      </w:pPr>
      <w:r>
        <w:rPr>
          <w:sz w:val="22"/>
        </w:rPr>
        <w:t>Weekly POS data. Non-promo weeks are averaged to produce future baseline forecasts.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F3964"/>
            <w:vAlign w:val="center"/>
          </w:tcPr>
          <w:p>
            <w:pPr>
              <w:jc w:val="center"/>
            </w:pPr>
            <w:r>
              <w:rPr>
                <w:b/>
                <w:color w:val="FFFFFF"/>
                <w:sz w:val="20"/>
              </w:rPr>
              <w:t>Column</w:t>
            </w:r>
          </w:p>
        </w:tc>
        <w:tc>
          <w:tcPr>
            <w:tcW w:type="dxa" w:w="1134"/>
            <w:shd w:val="clear" w:color="auto" w:fill="1F3964"/>
            <w:vAlign w:val="center"/>
          </w:tcPr>
          <w:p>
            <w:pPr>
              <w:jc w:val="center"/>
            </w:pPr>
            <w:r>
              <w:rPr>
                <w:b/>
                <w:color w:val="FFFFFF"/>
                <w:sz w:val="20"/>
              </w:rPr>
              <w:t>Type</w:t>
            </w:r>
          </w:p>
        </w:tc>
        <w:tc>
          <w:tcPr>
            <w:tcW w:type="dxa" w:w="1701"/>
            <w:shd w:val="clear" w:color="auto" w:fill="1F3964"/>
            <w:vAlign w:val="center"/>
          </w:tcPr>
          <w:p>
            <w:pPr>
              <w:jc w:val="center"/>
            </w:pPr>
            <w:r>
              <w:rPr>
                <w:b/>
                <w:color w:val="FFFFFF"/>
                <w:sz w:val="20"/>
              </w:rPr>
              <w:t>Example</w:t>
            </w:r>
          </w:p>
        </w:tc>
        <w:tc>
          <w:tcPr>
            <w:tcW w:type="dxa" w:w="3402"/>
            <w:shd w:val="clear" w:color="auto" w:fill="1F3964"/>
            <w:vAlign w:val="center"/>
          </w:tcPr>
          <w:p>
            <w:pPr>
              <w:jc w:val="center"/>
            </w:pPr>
            <w:r>
              <w:rPr>
                <w:b/>
                <w:color w:val="FFFFFF"/>
                <w:sz w:val="20"/>
              </w:rPr>
              <w:t>Role</w:t>
            </w:r>
          </w:p>
        </w:tc>
      </w:tr>
      <w:tr>
        <w:tc>
          <w:tcPr>
            <w:tcW w:type="dxa" w:w="1984"/>
            <w:shd w:val="clear" w:color="auto" w:fill="F2F2F2"/>
            <w:vAlign w:val="center"/>
          </w:tcPr>
          <w:p>
            <w:r>
              <w:rPr>
                <w:b/>
                <w:color w:val="1F3964"/>
                <w:sz w:val="20"/>
              </w:rPr>
              <w:t>week_id</w:t>
            </w:r>
          </w:p>
        </w:tc>
        <w:tc>
          <w:tcPr>
            <w:tcW w:type="dxa" w:w="1134"/>
            <w:shd w:val="clear" w:color="auto" w:fill="F2F2F2"/>
            <w:vAlign w:val="center"/>
          </w:tcPr>
          <w:p>
            <w:r>
              <w:rPr>
                <w:sz w:val="20"/>
              </w:rPr>
              <w:t>string</w:t>
            </w:r>
          </w:p>
        </w:tc>
        <w:tc>
          <w:tcPr>
            <w:tcW w:type="dxa" w:w="1701"/>
            <w:shd w:val="clear" w:color="auto" w:fill="F2F2F2"/>
            <w:vAlign w:val="center"/>
          </w:tcPr>
          <w:p>
            <w:r>
              <w:rPr>
                <w:sz w:val="20"/>
              </w:rPr>
              <w:t>2025-W03</w:t>
            </w:r>
          </w:p>
        </w:tc>
        <w:tc>
          <w:tcPr>
            <w:tcW w:type="dxa" w:w="3402"/>
            <w:shd w:val="clear" w:color="auto" w:fill="F2F2F2"/>
            <w:vAlign w:val="center"/>
          </w:tcPr>
          <w:p>
            <w:r>
              <w:rPr>
                <w:sz w:val="20"/>
              </w:rPr>
              <w:t>FK to calendar</w:t>
            </w:r>
          </w:p>
        </w:tc>
      </w:tr>
      <w:tr>
        <w:tc>
          <w:tcPr>
            <w:tcW w:type="dxa" w:w="1984"/>
            <w:shd w:val="clear" w:color="auto" w:fill="FFFFFF"/>
            <w:vAlign w:val="center"/>
          </w:tcPr>
          <w:p>
            <w:r>
              <w:rPr>
                <w:b/>
                <w:color w:val="1F3964"/>
                <w:sz w:val="20"/>
              </w:rPr>
              <w:t>sku_id</w:t>
            </w:r>
          </w:p>
        </w:tc>
        <w:tc>
          <w:tcPr>
            <w:tcW w:type="dxa" w:w="1134"/>
            <w:shd w:val="clear" w:color="auto" w:fill="FFFFFF"/>
            <w:vAlign w:val="center"/>
          </w:tcPr>
          <w:p>
            <w:r>
              <w:rPr>
                <w:sz w:val="20"/>
              </w:rPr>
              <w:t>string</w:t>
            </w:r>
          </w:p>
        </w:tc>
        <w:tc>
          <w:tcPr>
            <w:tcW w:type="dxa" w:w="1701"/>
            <w:shd w:val="clear" w:color="auto" w:fill="FFFFFF"/>
            <w:vAlign w:val="center"/>
          </w:tcPr>
          <w:p>
            <w:r>
              <w:rPr>
                <w:sz w:val="20"/>
              </w:rPr>
              <w:t>SKU-0001</w:t>
            </w:r>
          </w:p>
        </w:tc>
        <w:tc>
          <w:tcPr>
            <w:tcW w:type="dxa" w:w="3402"/>
            <w:shd w:val="clear" w:color="auto" w:fill="FFFFFF"/>
            <w:vAlign w:val="center"/>
          </w:tcPr>
          <w:p>
            <w:r>
              <w:rPr>
                <w:sz w:val="20"/>
              </w:rPr>
              <w:t>FK to sku_master</w:t>
            </w:r>
          </w:p>
        </w:tc>
      </w:tr>
      <w:tr>
        <w:tc>
          <w:tcPr>
            <w:tcW w:type="dxa" w:w="1984"/>
            <w:shd w:val="clear" w:color="auto" w:fill="F2F2F2"/>
            <w:vAlign w:val="center"/>
          </w:tcPr>
          <w:p>
            <w:r>
              <w:rPr>
                <w:b/>
                <w:color w:val="1F3964"/>
                <w:sz w:val="20"/>
              </w:rPr>
              <w:t>retailer_id</w:t>
            </w:r>
          </w:p>
        </w:tc>
        <w:tc>
          <w:tcPr>
            <w:tcW w:type="dxa" w:w="1134"/>
            <w:shd w:val="clear" w:color="auto" w:fill="F2F2F2"/>
            <w:vAlign w:val="center"/>
          </w:tcPr>
          <w:p>
            <w:r>
              <w:rPr>
                <w:sz w:val="20"/>
              </w:rPr>
              <w:t>string</w:t>
            </w:r>
          </w:p>
        </w:tc>
        <w:tc>
          <w:tcPr>
            <w:tcW w:type="dxa" w:w="1701"/>
            <w:shd w:val="clear" w:color="auto" w:fill="F2F2F2"/>
            <w:vAlign w:val="center"/>
          </w:tcPr>
          <w:p>
            <w:r>
              <w:rPr>
                <w:sz w:val="20"/>
              </w:rPr>
              <w:t>RET-001</w:t>
            </w:r>
          </w:p>
        </w:tc>
        <w:tc>
          <w:tcPr>
            <w:tcW w:type="dxa" w:w="3402"/>
            <w:shd w:val="clear" w:color="auto" w:fill="F2F2F2"/>
            <w:vAlign w:val="center"/>
          </w:tcPr>
          <w:p>
            <w:r>
              <w:rPr>
                <w:sz w:val="20"/>
              </w:rPr>
              <w:t>FK to retailer_master</w:t>
            </w:r>
          </w:p>
        </w:tc>
      </w:tr>
      <w:tr>
        <w:tc>
          <w:tcPr>
            <w:tcW w:type="dxa" w:w="1984"/>
            <w:shd w:val="clear" w:color="auto" w:fill="FFFFFF"/>
            <w:vAlign w:val="center"/>
          </w:tcPr>
          <w:p>
            <w:r>
              <w:rPr>
                <w:b/>
                <w:color w:val="1F3964"/>
                <w:sz w:val="20"/>
              </w:rPr>
              <w:t>units_sold</w:t>
            </w:r>
          </w:p>
        </w:tc>
        <w:tc>
          <w:tcPr>
            <w:tcW w:type="dxa" w:w="1134"/>
            <w:shd w:val="clear" w:color="auto" w:fill="FFFFFF"/>
            <w:vAlign w:val="center"/>
          </w:tcPr>
          <w:p>
            <w:r>
              <w:rPr>
                <w:sz w:val="20"/>
              </w:rPr>
              <w:t>int</w:t>
            </w:r>
          </w:p>
        </w:tc>
        <w:tc>
          <w:tcPr>
            <w:tcW w:type="dxa" w:w="1701"/>
            <w:shd w:val="clear" w:color="auto" w:fill="FFFFFF"/>
            <w:vAlign w:val="center"/>
          </w:tcPr>
          <w:p>
            <w:r>
              <w:rPr>
                <w:sz w:val="20"/>
              </w:rPr>
              <w:t>320</w:t>
            </w:r>
          </w:p>
        </w:tc>
        <w:tc>
          <w:tcPr>
            <w:tcW w:type="dxa" w:w="3402"/>
            <w:shd w:val="clear" w:color="auto" w:fill="FFFFFF"/>
            <w:vAlign w:val="center"/>
          </w:tcPr>
          <w:p>
            <w:r>
              <w:rPr>
                <w:sz w:val="20"/>
              </w:rPr>
              <w:t>Actual units sold in the week</w:t>
            </w:r>
          </w:p>
        </w:tc>
      </w:tr>
      <w:tr>
        <w:tc>
          <w:tcPr>
            <w:tcW w:type="dxa" w:w="1984"/>
            <w:shd w:val="clear" w:color="auto" w:fill="F2F2F2"/>
            <w:vAlign w:val="center"/>
          </w:tcPr>
          <w:p>
            <w:r>
              <w:rPr>
                <w:b/>
                <w:color w:val="1F3964"/>
                <w:sz w:val="20"/>
              </w:rPr>
              <w:t>gross_revenue</w:t>
            </w:r>
          </w:p>
        </w:tc>
        <w:tc>
          <w:tcPr>
            <w:tcW w:type="dxa" w:w="1134"/>
            <w:shd w:val="clear" w:color="auto" w:fill="F2F2F2"/>
            <w:vAlign w:val="center"/>
          </w:tcPr>
          <w:p>
            <w:r>
              <w:rPr>
                <w:sz w:val="20"/>
              </w:rPr>
              <w:t>float</w:t>
            </w:r>
          </w:p>
        </w:tc>
        <w:tc>
          <w:tcPr>
            <w:tcW w:type="dxa" w:w="1701"/>
            <w:shd w:val="clear" w:color="auto" w:fill="F2F2F2"/>
            <w:vAlign w:val="center"/>
          </w:tcPr>
          <w:p>
            <w:r>
              <w:rPr>
                <w:sz w:val="20"/>
              </w:rPr>
              <w:t>₹ 144,000</w:t>
            </w:r>
          </w:p>
        </w:tc>
        <w:tc>
          <w:tcPr>
            <w:tcW w:type="dxa" w:w="3402"/>
            <w:shd w:val="clear" w:color="auto" w:fill="F2F2F2"/>
            <w:vAlign w:val="center"/>
          </w:tcPr>
          <w:p>
            <w:r>
              <w:rPr>
                <w:sz w:val="20"/>
              </w:rPr>
              <w:t>Revenue for the week</w:t>
            </w:r>
          </w:p>
        </w:tc>
      </w:tr>
      <w:tr>
        <w:tc>
          <w:tcPr>
            <w:tcW w:type="dxa" w:w="1984"/>
            <w:shd w:val="clear" w:color="auto" w:fill="FFFFFF"/>
            <w:vAlign w:val="center"/>
          </w:tcPr>
          <w:p>
            <w:r>
              <w:rPr>
                <w:b/>
                <w:color w:val="1F3964"/>
                <w:sz w:val="20"/>
              </w:rPr>
              <w:t>on_promo_flag</w:t>
            </w:r>
          </w:p>
        </w:tc>
        <w:tc>
          <w:tcPr>
            <w:tcW w:type="dxa" w:w="1134"/>
            <w:shd w:val="clear" w:color="auto" w:fill="FFFFFF"/>
            <w:vAlign w:val="center"/>
          </w:tcPr>
          <w:p>
            <w:r>
              <w:rPr>
                <w:sz w:val="20"/>
              </w:rPr>
              <w:t>bool</w:t>
            </w:r>
          </w:p>
        </w:tc>
        <w:tc>
          <w:tcPr>
            <w:tcW w:type="dxa" w:w="1701"/>
            <w:shd w:val="clear" w:color="auto" w:fill="FFFFFF"/>
            <w:vAlign w:val="center"/>
          </w:tcPr>
          <w:p>
            <w:r>
              <w:rPr>
                <w:sz w:val="20"/>
              </w:rPr>
              <w:t>False</w:t>
            </w:r>
          </w:p>
        </w:tc>
        <w:tc>
          <w:tcPr>
            <w:tcW w:type="dxa" w:w="3402"/>
            <w:shd w:val="clear" w:color="auto" w:fill="FFFFFF"/>
            <w:vAlign w:val="center"/>
          </w:tcPr>
          <w:p>
            <w:r>
              <w:rPr>
                <w:sz w:val="20"/>
              </w:rPr>
              <w:t>Whether this was a promo week</w:t>
            </w:r>
          </w:p>
        </w:tc>
      </w:tr>
      <w:tr>
        <w:tc>
          <w:tcPr>
            <w:tcW w:type="dxa" w:w="1984"/>
            <w:shd w:val="clear" w:color="auto" w:fill="F2F2F2"/>
            <w:vAlign w:val="center"/>
          </w:tcPr>
          <w:p>
            <w:r>
              <w:rPr>
                <w:b/>
                <w:color w:val="1F3964"/>
                <w:sz w:val="20"/>
              </w:rPr>
              <w:t>baseline_units</w:t>
            </w:r>
          </w:p>
        </w:tc>
        <w:tc>
          <w:tcPr>
            <w:tcW w:type="dxa" w:w="1134"/>
            <w:shd w:val="clear" w:color="auto" w:fill="F2F2F2"/>
            <w:vAlign w:val="center"/>
          </w:tcPr>
          <w:p>
            <w:r>
              <w:rPr>
                <w:sz w:val="20"/>
              </w:rPr>
              <w:t>int</w:t>
            </w:r>
          </w:p>
        </w:tc>
        <w:tc>
          <w:tcPr>
            <w:tcW w:type="dxa" w:w="1701"/>
            <w:shd w:val="clear" w:color="auto" w:fill="F2F2F2"/>
            <w:vAlign w:val="center"/>
          </w:tcPr>
          <w:p>
            <w:r>
              <w:rPr>
                <w:sz w:val="20"/>
              </w:rPr>
              <w:t>210</w:t>
            </w:r>
          </w:p>
        </w:tc>
        <w:tc>
          <w:tcPr>
            <w:tcW w:type="dxa" w:w="3402"/>
            <w:shd w:val="clear" w:color="auto" w:fill="F2F2F2"/>
            <w:vAlign w:val="center"/>
          </w:tcPr>
          <w:p>
            <w:r>
              <w:rPr>
                <w:sz w:val="20"/>
              </w:rPr>
              <w:t>Expected non-promo volume</w:t>
            </w:r>
          </w:p>
        </w:tc>
      </w:tr>
      <w:tr>
        <w:tc>
          <w:tcPr>
            <w:tcW w:type="dxa" w:w="1984"/>
            <w:shd w:val="clear" w:color="auto" w:fill="FFFFFF"/>
            <w:vAlign w:val="center"/>
          </w:tcPr>
          <w:p>
            <w:r>
              <w:rPr>
                <w:b/>
                <w:color w:val="1F3964"/>
                <w:sz w:val="20"/>
              </w:rPr>
              <w:t>promo_id</w:t>
            </w:r>
          </w:p>
        </w:tc>
        <w:tc>
          <w:tcPr>
            <w:tcW w:type="dxa" w:w="1134"/>
            <w:shd w:val="clear" w:color="auto" w:fill="FFFFFF"/>
            <w:vAlign w:val="center"/>
          </w:tcPr>
          <w:p>
            <w:r>
              <w:rPr>
                <w:sz w:val="20"/>
              </w:rPr>
              <w:t>string</w:t>
            </w:r>
          </w:p>
        </w:tc>
        <w:tc>
          <w:tcPr>
            <w:tcW w:type="dxa" w:w="1701"/>
            <w:shd w:val="clear" w:color="auto" w:fill="FFFFFF"/>
            <w:vAlign w:val="center"/>
          </w:tcPr>
          <w:p>
            <w:r>
              <w:rPr>
                <w:sz w:val="20"/>
              </w:rPr>
              <w:t>PROMO-0042</w:t>
            </w:r>
          </w:p>
        </w:tc>
        <w:tc>
          <w:tcPr>
            <w:tcW w:type="dxa" w:w="3402"/>
            <w:shd w:val="clear" w:color="auto" w:fill="FFFFFF"/>
            <w:vAlign w:val="center"/>
          </w:tcPr>
          <w:p>
            <w:r>
              <w:rPr>
                <w:sz w:val="20"/>
              </w:rPr>
              <w:t>FK to promo_history; blank if not on promo</w:t>
            </w:r>
          </w:p>
        </w:tc>
      </w:tr>
    </w:tbl>
    <w:p>
      <w:pPr>
        <w:spacing w:after="120"/>
      </w:pPr>
    </w:p>
    <w:p>
      <w:pPr>
        <w:keepNext/>
        <w:spacing w:before="160" w:after="40"/>
      </w:pPr>
      <w:r>
        <w:rPr>
          <w:b/>
          <w:color w:val="1F3964"/>
          <w:sz w:val="22"/>
        </w:rPr>
        <w:t>Key Field Interactions</w:t>
      </w:r>
    </w:p>
    <w:p>
      <w:pPr>
        <w:pStyle w:val="ListBullet"/>
        <w:spacing w:after="60"/>
        <w:ind w:left="283"/>
      </w:pPr>
      <w:r>
        <w:rPr>
          <w:sz w:val="22"/>
        </w:rPr>
        <w:t>Rows where on_promo_flag = False  are averaged to compute projected_weekly_baseline_units for planning</w:t>
      </w:r>
    </w:p>
    <w:p>
      <w:pPr>
        <w:pStyle w:val="ListBullet"/>
        <w:spacing w:after="60"/>
        <w:ind w:left="283"/>
      </w:pPr>
      <w:r>
        <w:rPr>
          <w:sz w:val="22"/>
        </w:rPr>
        <w:t>Falls back to the same quarter in the prior fiscal year if current quarter data is sparse</w:t>
      </w:r>
    </w:p>
    <w:p>
      <w:pPr>
        <w:pStyle w:val="ListBullet"/>
        <w:spacing w:after="60"/>
        <w:ind w:left="283"/>
      </w:pPr>
      <w:r>
        <w:rPr>
          <w:sz w:val="22"/>
        </w:rPr>
        <w:t>units_sold − baseline_units  (when on_promo_flag = True) shows the historically realized lift</w:t>
      </w:r>
    </w:p>
    <w:p>
      <w:pPr>
        <w:keepNext/>
        <w:spacing w:before="240" w:after="80"/>
      </w:pPr>
      <w:r>
        <w:rPr>
          <w:b/>
          <w:color w:val="2E75B6"/>
          <w:sz w:val="26"/>
        </w:rPr>
        <w:t>4.5  promo_history.csv  (800 rows — past campaigns)</w:t>
      </w:r>
    </w:p>
    <w:p>
      <w:pPr>
        <w:spacing w:after="120"/>
      </w:pPr>
      <w:r>
        <w:rPr>
          <w:sz w:val="22"/>
        </w:rPr>
        <w:t>Historical promotion events. Used exclusively for the 13-week rolling window compliance check.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F3964"/>
            <w:vAlign w:val="center"/>
          </w:tcPr>
          <w:p>
            <w:pPr>
              <w:jc w:val="center"/>
            </w:pPr>
            <w:r>
              <w:rPr>
                <w:b/>
                <w:color w:val="FFFFFF"/>
                <w:sz w:val="20"/>
              </w:rPr>
              <w:t>Column</w:t>
            </w:r>
          </w:p>
        </w:tc>
        <w:tc>
          <w:tcPr>
            <w:tcW w:type="dxa" w:w="1134"/>
            <w:shd w:val="clear" w:color="auto" w:fill="1F3964"/>
            <w:vAlign w:val="center"/>
          </w:tcPr>
          <w:p>
            <w:pPr>
              <w:jc w:val="center"/>
            </w:pPr>
            <w:r>
              <w:rPr>
                <w:b/>
                <w:color w:val="FFFFFF"/>
                <w:sz w:val="20"/>
              </w:rPr>
              <w:t>Type</w:t>
            </w:r>
          </w:p>
        </w:tc>
        <w:tc>
          <w:tcPr>
            <w:tcW w:type="dxa" w:w="1701"/>
            <w:shd w:val="clear" w:color="auto" w:fill="1F3964"/>
            <w:vAlign w:val="center"/>
          </w:tcPr>
          <w:p>
            <w:pPr>
              <w:jc w:val="center"/>
            </w:pPr>
            <w:r>
              <w:rPr>
                <w:b/>
                <w:color w:val="FFFFFF"/>
                <w:sz w:val="20"/>
              </w:rPr>
              <w:t>Example</w:t>
            </w:r>
          </w:p>
        </w:tc>
        <w:tc>
          <w:tcPr>
            <w:tcW w:type="dxa" w:w="3402"/>
            <w:shd w:val="clear" w:color="auto" w:fill="1F3964"/>
            <w:vAlign w:val="center"/>
          </w:tcPr>
          <w:p>
            <w:pPr>
              <w:jc w:val="center"/>
            </w:pPr>
            <w:r>
              <w:rPr>
                <w:b/>
                <w:color w:val="FFFFFF"/>
                <w:sz w:val="20"/>
              </w:rPr>
              <w:t>Role</w:t>
            </w:r>
          </w:p>
        </w:tc>
      </w:tr>
      <w:tr>
        <w:tc>
          <w:tcPr>
            <w:tcW w:type="dxa" w:w="1984"/>
            <w:shd w:val="clear" w:color="auto" w:fill="F2F2F2"/>
            <w:vAlign w:val="center"/>
          </w:tcPr>
          <w:p>
            <w:r>
              <w:rPr>
                <w:b/>
                <w:color w:val="1F3964"/>
                <w:sz w:val="20"/>
              </w:rPr>
              <w:t>promo_id</w:t>
            </w:r>
          </w:p>
        </w:tc>
        <w:tc>
          <w:tcPr>
            <w:tcW w:type="dxa" w:w="1134"/>
            <w:shd w:val="clear" w:color="auto" w:fill="F2F2F2"/>
            <w:vAlign w:val="center"/>
          </w:tcPr>
          <w:p>
            <w:r>
              <w:rPr>
                <w:sz w:val="20"/>
              </w:rPr>
              <w:t>string</w:t>
            </w:r>
          </w:p>
        </w:tc>
        <w:tc>
          <w:tcPr>
            <w:tcW w:type="dxa" w:w="1701"/>
            <w:shd w:val="clear" w:color="auto" w:fill="F2F2F2"/>
            <w:vAlign w:val="center"/>
          </w:tcPr>
          <w:p>
            <w:r>
              <w:rPr>
                <w:sz w:val="20"/>
              </w:rPr>
              <w:t>PROMO-0042</w:t>
            </w:r>
          </w:p>
        </w:tc>
        <w:tc>
          <w:tcPr>
            <w:tcW w:type="dxa" w:w="3402"/>
            <w:shd w:val="clear" w:color="auto" w:fill="F2F2F2"/>
            <w:vAlign w:val="center"/>
          </w:tcPr>
          <w:p>
            <w:r>
              <w:rPr>
                <w:sz w:val="20"/>
              </w:rPr>
              <w:t>Primary key</w:t>
            </w:r>
          </w:p>
        </w:tc>
      </w:tr>
      <w:tr>
        <w:tc>
          <w:tcPr>
            <w:tcW w:type="dxa" w:w="1984"/>
            <w:shd w:val="clear" w:color="auto" w:fill="FFFFFF"/>
            <w:vAlign w:val="center"/>
          </w:tcPr>
          <w:p>
            <w:r>
              <w:rPr>
                <w:b/>
                <w:color w:val="1F3964"/>
                <w:sz w:val="20"/>
              </w:rPr>
              <w:t>sku_id</w:t>
            </w:r>
          </w:p>
        </w:tc>
        <w:tc>
          <w:tcPr>
            <w:tcW w:type="dxa" w:w="1134"/>
            <w:shd w:val="clear" w:color="auto" w:fill="FFFFFF"/>
            <w:vAlign w:val="center"/>
          </w:tcPr>
          <w:p>
            <w:r>
              <w:rPr>
                <w:sz w:val="20"/>
              </w:rPr>
              <w:t>string</w:t>
            </w:r>
          </w:p>
        </w:tc>
        <w:tc>
          <w:tcPr>
            <w:tcW w:type="dxa" w:w="1701"/>
            <w:shd w:val="clear" w:color="auto" w:fill="FFFFFF"/>
            <w:vAlign w:val="center"/>
          </w:tcPr>
          <w:p>
            <w:r>
              <w:rPr>
                <w:sz w:val="20"/>
              </w:rPr>
              <w:t>SKU-0001</w:t>
            </w:r>
          </w:p>
        </w:tc>
        <w:tc>
          <w:tcPr>
            <w:tcW w:type="dxa" w:w="3402"/>
            <w:shd w:val="clear" w:color="auto" w:fill="FFFFFF"/>
            <w:vAlign w:val="center"/>
          </w:tcPr>
          <w:p>
            <w:r>
              <w:rPr>
                <w:sz w:val="20"/>
              </w:rPr>
              <w:t>Product promoted</w:t>
            </w:r>
          </w:p>
        </w:tc>
      </w:tr>
      <w:tr>
        <w:tc>
          <w:tcPr>
            <w:tcW w:type="dxa" w:w="1984"/>
            <w:shd w:val="clear" w:color="auto" w:fill="F2F2F2"/>
            <w:vAlign w:val="center"/>
          </w:tcPr>
          <w:p>
            <w:r>
              <w:rPr>
                <w:b/>
                <w:color w:val="1F3964"/>
                <w:sz w:val="20"/>
              </w:rPr>
              <w:t>retailer_id</w:t>
            </w:r>
          </w:p>
        </w:tc>
        <w:tc>
          <w:tcPr>
            <w:tcW w:type="dxa" w:w="1134"/>
            <w:shd w:val="clear" w:color="auto" w:fill="F2F2F2"/>
            <w:vAlign w:val="center"/>
          </w:tcPr>
          <w:p>
            <w:r>
              <w:rPr>
                <w:sz w:val="20"/>
              </w:rPr>
              <w:t>string</w:t>
            </w:r>
          </w:p>
        </w:tc>
        <w:tc>
          <w:tcPr>
            <w:tcW w:type="dxa" w:w="1701"/>
            <w:shd w:val="clear" w:color="auto" w:fill="F2F2F2"/>
            <w:vAlign w:val="center"/>
          </w:tcPr>
          <w:p>
            <w:r>
              <w:rPr>
                <w:sz w:val="20"/>
              </w:rPr>
              <w:t>RET-001</w:t>
            </w:r>
          </w:p>
        </w:tc>
        <w:tc>
          <w:tcPr>
            <w:tcW w:type="dxa" w:w="3402"/>
            <w:shd w:val="clear" w:color="auto" w:fill="F2F2F2"/>
            <w:vAlign w:val="center"/>
          </w:tcPr>
          <w:p>
            <w:r>
              <w:rPr>
                <w:sz w:val="20"/>
              </w:rPr>
              <w:t>Where it ran</w:t>
            </w:r>
          </w:p>
        </w:tc>
      </w:tr>
      <w:tr>
        <w:tc>
          <w:tcPr>
            <w:tcW w:type="dxa" w:w="1984"/>
            <w:shd w:val="clear" w:color="auto" w:fill="FFFFFF"/>
            <w:vAlign w:val="center"/>
          </w:tcPr>
          <w:p>
            <w:r>
              <w:rPr>
                <w:b/>
                <w:color w:val="1F3964"/>
                <w:sz w:val="20"/>
              </w:rPr>
              <w:t>start_week</w:t>
            </w:r>
          </w:p>
        </w:tc>
        <w:tc>
          <w:tcPr>
            <w:tcW w:type="dxa" w:w="1134"/>
            <w:shd w:val="clear" w:color="auto" w:fill="FFFFFF"/>
            <w:vAlign w:val="center"/>
          </w:tcPr>
          <w:p>
            <w:r>
              <w:rPr>
                <w:sz w:val="20"/>
              </w:rPr>
              <w:t>string</w:t>
            </w:r>
          </w:p>
        </w:tc>
        <w:tc>
          <w:tcPr>
            <w:tcW w:type="dxa" w:w="1701"/>
            <w:shd w:val="clear" w:color="auto" w:fill="FFFFFF"/>
            <w:vAlign w:val="center"/>
          </w:tcPr>
          <w:p>
            <w:r>
              <w:rPr>
                <w:sz w:val="20"/>
              </w:rPr>
              <w:t>2025-W01</w:t>
            </w:r>
          </w:p>
        </w:tc>
        <w:tc>
          <w:tcPr>
            <w:tcW w:type="dxa" w:w="3402"/>
            <w:shd w:val="clear" w:color="auto" w:fill="FFFFFF"/>
            <w:vAlign w:val="center"/>
          </w:tcPr>
          <w:p>
            <w:r>
              <w:rPr>
                <w:sz w:val="20"/>
              </w:rPr>
              <w:t>Week promo launched</w:t>
            </w:r>
          </w:p>
        </w:tc>
      </w:tr>
      <w:tr>
        <w:tc>
          <w:tcPr>
            <w:tcW w:type="dxa" w:w="1984"/>
            <w:shd w:val="clear" w:color="auto" w:fill="F2F2F2"/>
            <w:vAlign w:val="center"/>
          </w:tcPr>
          <w:p>
            <w:r>
              <w:rPr>
                <w:b/>
                <w:color w:val="1F3964"/>
                <w:sz w:val="20"/>
              </w:rPr>
              <w:t>end_week</w:t>
            </w:r>
          </w:p>
        </w:tc>
        <w:tc>
          <w:tcPr>
            <w:tcW w:type="dxa" w:w="1134"/>
            <w:shd w:val="clear" w:color="auto" w:fill="F2F2F2"/>
            <w:vAlign w:val="center"/>
          </w:tcPr>
          <w:p>
            <w:r>
              <w:rPr>
                <w:sz w:val="20"/>
              </w:rPr>
              <w:t>string</w:t>
            </w:r>
          </w:p>
        </w:tc>
        <w:tc>
          <w:tcPr>
            <w:tcW w:type="dxa" w:w="1701"/>
            <w:shd w:val="clear" w:color="auto" w:fill="F2F2F2"/>
            <w:vAlign w:val="center"/>
          </w:tcPr>
          <w:p>
            <w:r>
              <w:rPr>
                <w:sz w:val="20"/>
              </w:rPr>
              <w:t>2025-W02</w:t>
            </w:r>
          </w:p>
        </w:tc>
        <w:tc>
          <w:tcPr>
            <w:tcW w:type="dxa" w:w="3402"/>
            <w:shd w:val="clear" w:color="auto" w:fill="F2F2F2"/>
            <w:vAlign w:val="center"/>
          </w:tcPr>
          <w:p>
            <w:r>
              <w:rPr>
                <w:sz w:val="20"/>
              </w:rPr>
              <w:t>Week promo ended (inclusive)</w:t>
            </w:r>
          </w:p>
        </w:tc>
      </w:tr>
      <w:tr>
        <w:tc>
          <w:tcPr>
            <w:tcW w:type="dxa" w:w="1984"/>
            <w:shd w:val="clear" w:color="auto" w:fill="FFFFFF"/>
            <w:vAlign w:val="center"/>
          </w:tcPr>
          <w:p>
            <w:r>
              <w:rPr>
                <w:b/>
                <w:color w:val="1F3964"/>
                <w:sz w:val="20"/>
              </w:rPr>
              <w:t>mechanic</w:t>
            </w:r>
          </w:p>
        </w:tc>
        <w:tc>
          <w:tcPr>
            <w:tcW w:type="dxa" w:w="1134"/>
            <w:shd w:val="clear" w:color="auto" w:fill="FFFFFF"/>
            <w:vAlign w:val="center"/>
          </w:tcPr>
          <w:p>
            <w:r>
              <w:rPr>
                <w:sz w:val="20"/>
              </w:rPr>
              <w:t>string</w:t>
            </w:r>
          </w:p>
        </w:tc>
        <w:tc>
          <w:tcPr>
            <w:tcW w:type="dxa" w:w="1701"/>
            <w:shd w:val="clear" w:color="auto" w:fill="FFFFFF"/>
            <w:vAlign w:val="center"/>
          </w:tcPr>
          <w:p>
            <w:r>
              <w:rPr>
                <w:sz w:val="20"/>
              </w:rPr>
              <w:t>Price Off</w:t>
            </w:r>
          </w:p>
        </w:tc>
        <w:tc>
          <w:tcPr>
            <w:tcW w:type="dxa" w:w="3402"/>
            <w:shd w:val="clear" w:color="auto" w:fill="FFFFFF"/>
            <w:vAlign w:val="center"/>
          </w:tcPr>
          <w:p>
            <w:r>
              <w:rPr>
                <w:sz w:val="20"/>
              </w:rPr>
              <w:t>Promotional tactic</w:t>
            </w:r>
          </w:p>
        </w:tc>
      </w:tr>
      <w:tr>
        <w:tc>
          <w:tcPr>
            <w:tcW w:type="dxa" w:w="1984"/>
            <w:shd w:val="clear" w:color="auto" w:fill="F2F2F2"/>
            <w:vAlign w:val="center"/>
          </w:tcPr>
          <w:p>
            <w:r>
              <w:rPr>
                <w:b/>
                <w:color w:val="1F3964"/>
                <w:sz w:val="20"/>
              </w:rPr>
              <w:t>discount_depth_pct</w:t>
            </w:r>
          </w:p>
        </w:tc>
        <w:tc>
          <w:tcPr>
            <w:tcW w:type="dxa" w:w="1134"/>
            <w:shd w:val="clear" w:color="auto" w:fill="F2F2F2"/>
            <w:vAlign w:val="center"/>
          </w:tcPr>
          <w:p>
            <w:r>
              <w:rPr>
                <w:sz w:val="20"/>
              </w:rPr>
              <w:t>float</w:t>
            </w:r>
          </w:p>
        </w:tc>
        <w:tc>
          <w:tcPr>
            <w:tcW w:type="dxa" w:w="1701"/>
            <w:shd w:val="clear" w:color="auto" w:fill="F2F2F2"/>
            <w:vAlign w:val="center"/>
          </w:tcPr>
          <w:p>
            <w:r>
              <w:rPr>
                <w:sz w:val="20"/>
              </w:rPr>
              <w:t>0.15</w:t>
            </w:r>
          </w:p>
        </w:tc>
        <w:tc>
          <w:tcPr>
            <w:tcW w:type="dxa" w:w="3402"/>
            <w:shd w:val="clear" w:color="auto" w:fill="F2F2F2"/>
            <w:vAlign w:val="center"/>
          </w:tcPr>
          <w:p>
            <w:r>
              <w:rPr>
                <w:sz w:val="20"/>
              </w:rPr>
              <w:t>% off from list_price</w:t>
            </w:r>
          </w:p>
        </w:tc>
      </w:tr>
      <w:tr>
        <w:tc>
          <w:tcPr>
            <w:tcW w:type="dxa" w:w="1984"/>
            <w:shd w:val="clear" w:color="auto" w:fill="FFFFFF"/>
            <w:vAlign w:val="center"/>
          </w:tcPr>
          <w:p>
            <w:r>
              <w:rPr>
                <w:b/>
                <w:color w:val="1F3964"/>
                <w:sz w:val="20"/>
              </w:rPr>
              <w:t>actual_units</w:t>
            </w:r>
          </w:p>
        </w:tc>
        <w:tc>
          <w:tcPr>
            <w:tcW w:type="dxa" w:w="1134"/>
            <w:shd w:val="clear" w:color="auto" w:fill="FFFFFF"/>
            <w:vAlign w:val="center"/>
          </w:tcPr>
          <w:p>
            <w:r>
              <w:rPr>
                <w:sz w:val="20"/>
              </w:rPr>
              <w:t>int</w:t>
            </w:r>
          </w:p>
        </w:tc>
        <w:tc>
          <w:tcPr>
            <w:tcW w:type="dxa" w:w="1701"/>
            <w:shd w:val="clear" w:color="auto" w:fill="FFFFFF"/>
            <w:vAlign w:val="center"/>
          </w:tcPr>
          <w:p>
            <w:r>
              <w:rPr>
                <w:sz w:val="20"/>
              </w:rPr>
              <w:t>1,100</w:t>
            </w:r>
          </w:p>
        </w:tc>
        <w:tc>
          <w:tcPr>
            <w:tcW w:type="dxa" w:w="3402"/>
            <w:shd w:val="clear" w:color="auto" w:fill="FFFFFF"/>
            <w:vAlign w:val="center"/>
          </w:tcPr>
          <w:p>
            <w:r>
              <w:rPr>
                <w:sz w:val="20"/>
              </w:rPr>
              <w:t>Realized units sold</w:t>
            </w:r>
          </w:p>
        </w:tc>
      </w:tr>
      <w:tr>
        <w:tc>
          <w:tcPr>
            <w:tcW w:type="dxa" w:w="1984"/>
            <w:shd w:val="clear" w:color="auto" w:fill="F2F2F2"/>
            <w:vAlign w:val="center"/>
          </w:tcPr>
          <w:p>
            <w:r>
              <w:rPr>
                <w:b/>
                <w:color w:val="1F3964"/>
                <w:sz w:val="20"/>
              </w:rPr>
              <w:t>realized_lift_pct</w:t>
            </w:r>
          </w:p>
        </w:tc>
        <w:tc>
          <w:tcPr>
            <w:tcW w:type="dxa" w:w="1134"/>
            <w:shd w:val="clear" w:color="auto" w:fill="F2F2F2"/>
            <w:vAlign w:val="center"/>
          </w:tcPr>
          <w:p>
            <w:r>
              <w:rPr>
                <w:sz w:val="20"/>
              </w:rPr>
              <w:t>float</w:t>
            </w:r>
          </w:p>
        </w:tc>
        <w:tc>
          <w:tcPr>
            <w:tcW w:type="dxa" w:w="1701"/>
            <w:shd w:val="clear" w:color="auto" w:fill="F2F2F2"/>
            <w:vAlign w:val="center"/>
          </w:tcPr>
          <w:p>
            <w:r>
              <w:rPr>
                <w:sz w:val="20"/>
              </w:rPr>
              <w:t>0.82</w:t>
            </w:r>
          </w:p>
        </w:tc>
        <w:tc>
          <w:tcPr>
            <w:tcW w:type="dxa" w:w="3402"/>
            <w:shd w:val="clear" w:color="auto" w:fill="F2F2F2"/>
            <w:vAlign w:val="center"/>
          </w:tcPr>
          <w:p>
            <w:r>
              <w:rPr>
                <w:sz w:val="20"/>
              </w:rPr>
              <w:t>Actual lift vs. baseline</w:t>
            </w:r>
          </w:p>
        </w:tc>
      </w:tr>
    </w:tbl>
    <w:p>
      <w:pPr>
        <w:spacing w:after="120"/>
      </w:pPr>
    </w:p>
    <w:p>
      <w:pPr>
        <w:keepNext/>
        <w:spacing w:before="160" w:after="40"/>
      </w:pPr>
      <w:r>
        <w:rPr>
          <w:b/>
          <w:color w:val="1F3964"/>
          <w:sz w:val="22"/>
        </w:rPr>
        <w:t>Key Field Interactions</w:t>
      </w:r>
    </w:p>
    <w:p>
      <w:pPr>
        <w:pStyle w:val="ListBullet"/>
        <w:spacing w:after="60"/>
        <w:ind w:left="283"/>
      </w:pPr>
      <w:r>
        <w:rPr>
          <w:sz w:val="22"/>
        </w:rPr>
        <w:t>start_week / end_week  → counted in the 13-week rolling window for Rule C03 (≤ 10 promo weeks per window)</w:t>
      </w:r>
    </w:p>
    <w:p>
      <w:pPr>
        <w:pStyle w:val="ListBullet"/>
        <w:spacing w:after="60"/>
        <w:ind w:left="283"/>
      </w:pPr>
      <w:r>
        <w:rPr>
          <w:sz w:val="22"/>
        </w:rPr>
        <w:t>mechanic  multipliers: Price Off=1.0×, BOGO=1.8×, Display=0.6×, Feature=0.8×, Combo=0.7×</w:t>
      </w:r>
    </w:p>
    <w:p>
      <w:pPr>
        <w:keepNext/>
        <w:spacing w:before="240" w:after="80"/>
      </w:pPr>
      <w:r>
        <w:rPr>
          <w:b/>
          <w:color w:val="2E75B6"/>
          <w:sz w:val="26"/>
        </w:rPr>
        <w:t>4.6  cannibalization_matrix.csv  (450 rows — SKU pairs)</w:t>
      </w:r>
    </w:p>
    <w:p>
      <w:pPr>
        <w:spacing w:after="120"/>
      </w:pPr>
      <w:r>
        <w:rPr>
          <w:sz w:val="22"/>
        </w:rPr>
        <w:t>Cross-elasticity matrix quantifying demand theft between simultaneously promoted products at the same retailer.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F3964"/>
            <w:vAlign w:val="center"/>
          </w:tcPr>
          <w:p>
            <w:pPr>
              <w:jc w:val="center"/>
            </w:pPr>
            <w:r>
              <w:rPr>
                <w:b/>
                <w:color w:val="FFFFFF"/>
                <w:sz w:val="20"/>
              </w:rPr>
              <w:t>Column</w:t>
            </w:r>
          </w:p>
        </w:tc>
        <w:tc>
          <w:tcPr>
            <w:tcW w:type="dxa" w:w="1134"/>
            <w:shd w:val="clear" w:color="auto" w:fill="1F3964"/>
            <w:vAlign w:val="center"/>
          </w:tcPr>
          <w:p>
            <w:pPr>
              <w:jc w:val="center"/>
            </w:pPr>
            <w:r>
              <w:rPr>
                <w:b/>
                <w:color w:val="FFFFFF"/>
                <w:sz w:val="20"/>
              </w:rPr>
              <w:t>Type</w:t>
            </w:r>
          </w:p>
        </w:tc>
        <w:tc>
          <w:tcPr>
            <w:tcW w:type="dxa" w:w="1417"/>
            <w:shd w:val="clear" w:color="auto" w:fill="1F3964"/>
            <w:vAlign w:val="center"/>
          </w:tcPr>
          <w:p>
            <w:pPr>
              <w:jc w:val="center"/>
            </w:pPr>
            <w:r>
              <w:rPr>
                <w:b/>
                <w:color w:val="FFFFFF"/>
                <w:sz w:val="20"/>
              </w:rPr>
              <w:t>Example</w:t>
            </w:r>
          </w:p>
        </w:tc>
        <w:tc>
          <w:tcPr>
            <w:tcW w:type="dxa" w:w="3685"/>
            <w:shd w:val="clear" w:color="auto" w:fill="1F3964"/>
            <w:vAlign w:val="center"/>
          </w:tcPr>
          <w:p>
            <w:pPr>
              <w:jc w:val="center"/>
            </w:pPr>
            <w:r>
              <w:rPr>
                <w:b/>
                <w:color w:val="FFFFFF"/>
                <w:sz w:val="20"/>
              </w:rPr>
              <w:t>Role</w:t>
            </w:r>
          </w:p>
        </w:tc>
      </w:tr>
      <w:tr>
        <w:tc>
          <w:tcPr>
            <w:tcW w:type="dxa" w:w="1984"/>
            <w:shd w:val="clear" w:color="auto" w:fill="F2F2F2"/>
            <w:vAlign w:val="center"/>
          </w:tcPr>
          <w:p>
            <w:r>
              <w:rPr>
                <w:b/>
                <w:color w:val="1F3964"/>
                <w:sz w:val="20"/>
              </w:rPr>
              <w:t>sku_a</w:t>
            </w:r>
          </w:p>
        </w:tc>
        <w:tc>
          <w:tcPr>
            <w:tcW w:type="dxa" w:w="1134"/>
            <w:shd w:val="clear" w:color="auto" w:fill="F2F2F2"/>
            <w:vAlign w:val="center"/>
          </w:tcPr>
          <w:p>
            <w:r>
              <w:rPr>
                <w:sz w:val="20"/>
              </w:rPr>
              <w:t>string</w:t>
            </w:r>
          </w:p>
        </w:tc>
        <w:tc>
          <w:tcPr>
            <w:tcW w:type="dxa" w:w="1417"/>
            <w:shd w:val="clear" w:color="auto" w:fill="F2F2F2"/>
            <w:vAlign w:val="center"/>
          </w:tcPr>
          <w:p>
            <w:r>
              <w:rPr>
                <w:sz w:val="20"/>
              </w:rPr>
              <w:t>SKU-0001</w:t>
            </w:r>
          </w:p>
        </w:tc>
        <w:tc>
          <w:tcPr>
            <w:tcW w:type="dxa" w:w="3685"/>
            <w:shd w:val="clear" w:color="auto" w:fill="F2F2F2"/>
            <w:vAlign w:val="center"/>
          </w:tcPr>
          <w:p>
            <w:r>
              <w:rPr>
                <w:sz w:val="20"/>
              </w:rPr>
              <w:t>The SKU being promoted</w:t>
            </w:r>
          </w:p>
        </w:tc>
      </w:tr>
      <w:tr>
        <w:tc>
          <w:tcPr>
            <w:tcW w:type="dxa" w:w="1984"/>
            <w:shd w:val="clear" w:color="auto" w:fill="FFFFFF"/>
            <w:vAlign w:val="center"/>
          </w:tcPr>
          <w:p>
            <w:r>
              <w:rPr>
                <w:b/>
                <w:color w:val="1F3964"/>
                <w:sz w:val="20"/>
              </w:rPr>
              <w:t>sku_b</w:t>
            </w:r>
          </w:p>
        </w:tc>
        <w:tc>
          <w:tcPr>
            <w:tcW w:type="dxa" w:w="1134"/>
            <w:shd w:val="clear" w:color="auto" w:fill="FFFFFF"/>
            <w:vAlign w:val="center"/>
          </w:tcPr>
          <w:p>
            <w:r>
              <w:rPr>
                <w:sz w:val="20"/>
              </w:rPr>
              <w:t>string</w:t>
            </w:r>
          </w:p>
        </w:tc>
        <w:tc>
          <w:tcPr>
            <w:tcW w:type="dxa" w:w="1417"/>
            <w:shd w:val="clear" w:color="auto" w:fill="FFFFFF"/>
            <w:vAlign w:val="center"/>
          </w:tcPr>
          <w:p>
            <w:r>
              <w:rPr>
                <w:sz w:val="20"/>
              </w:rPr>
              <w:t>SKU-0002</w:t>
            </w:r>
          </w:p>
        </w:tc>
        <w:tc>
          <w:tcPr>
            <w:tcW w:type="dxa" w:w="3685"/>
            <w:shd w:val="clear" w:color="auto" w:fill="FFFFFF"/>
            <w:vAlign w:val="center"/>
          </w:tcPr>
          <w:p>
            <w:r>
              <w:rPr>
                <w:sz w:val="20"/>
              </w:rPr>
              <w:t>The SKU losing share</w:t>
            </w:r>
          </w:p>
        </w:tc>
      </w:tr>
      <w:tr>
        <w:tc>
          <w:tcPr>
            <w:tcW w:type="dxa" w:w="1984"/>
            <w:shd w:val="clear" w:color="auto" w:fill="F2F2F2"/>
            <w:vAlign w:val="center"/>
          </w:tcPr>
          <w:p>
            <w:r>
              <w:rPr>
                <w:b/>
                <w:color w:val="1F3964"/>
                <w:sz w:val="20"/>
              </w:rPr>
              <w:t>cross_elasticity</w:t>
            </w:r>
          </w:p>
        </w:tc>
        <w:tc>
          <w:tcPr>
            <w:tcW w:type="dxa" w:w="1134"/>
            <w:shd w:val="clear" w:color="auto" w:fill="F2F2F2"/>
            <w:vAlign w:val="center"/>
          </w:tcPr>
          <w:p>
            <w:r>
              <w:rPr>
                <w:sz w:val="20"/>
              </w:rPr>
              <w:t>float</w:t>
            </w:r>
          </w:p>
        </w:tc>
        <w:tc>
          <w:tcPr>
            <w:tcW w:type="dxa" w:w="1417"/>
            <w:shd w:val="clear" w:color="auto" w:fill="F2F2F2"/>
            <w:vAlign w:val="center"/>
          </w:tcPr>
          <w:p>
            <w:r>
              <w:rPr>
                <w:sz w:val="20"/>
              </w:rPr>
              <w:t>0.22</w:t>
            </w:r>
          </w:p>
        </w:tc>
        <w:tc>
          <w:tcPr>
            <w:tcW w:type="dxa" w:w="3685"/>
            <w:shd w:val="clear" w:color="auto" w:fill="F2F2F2"/>
            <w:vAlign w:val="center"/>
          </w:tcPr>
          <w:p>
            <w:r>
              <w:rPr>
                <w:sz w:val="20"/>
              </w:rPr>
              <w:t>% of SKU-A's incremental units stolen from SKU-B</w:t>
            </w:r>
          </w:p>
        </w:tc>
      </w:tr>
      <w:tr>
        <w:tc>
          <w:tcPr>
            <w:tcW w:type="dxa" w:w="1984"/>
            <w:shd w:val="clear" w:color="auto" w:fill="FFFFFF"/>
            <w:vAlign w:val="center"/>
          </w:tcPr>
          <w:p>
            <w:r>
              <w:rPr>
                <w:b/>
                <w:color w:val="1F3964"/>
                <w:sz w:val="20"/>
              </w:rPr>
              <w:t>relationship_type</w:t>
            </w:r>
          </w:p>
        </w:tc>
        <w:tc>
          <w:tcPr>
            <w:tcW w:type="dxa" w:w="1134"/>
            <w:shd w:val="clear" w:color="auto" w:fill="FFFFFF"/>
            <w:vAlign w:val="center"/>
          </w:tcPr>
          <w:p>
            <w:r>
              <w:rPr>
                <w:sz w:val="20"/>
              </w:rPr>
              <w:t>string</w:t>
            </w:r>
          </w:p>
        </w:tc>
        <w:tc>
          <w:tcPr>
            <w:tcW w:type="dxa" w:w="1417"/>
            <w:shd w:val="clear" w:color="auto" w:fill="FFFFFF"/>
            <w:vAlign w:val="center"/>
          </w:tcPr>
          <w:p>
            <w:r>
              <w:rPr>
                <w:sz w:val="20"/>
              </w:rPr>
              <w:t>Same brand</w:t>
            </w:r>
          </w:p>
        </w:tc>
        <w:tc>
          <w:tcPr>
            <w:tcW w:type="dxa" w:w="3685"/>
            <w:shd w:val="clear" w:color="auto" w:fill="FFFFFF"/>
            <w:vAlign w:val="center"/>
          </w:tcPr>
          <w:p>
            <w:r>
              <w:rPr>
                <w:sz w:val="20"/>
              </w:rPr>
              <w:t>Same brand vs. Competing brand</w:t>
            </w:r>
          </w:p>
        </w:tc>
      </w:tr>
    </w:tbl>
    <w:p>
      <w:pPr>
        <w:spacing w:after="120"/>
      </w:pPr>
    </w:p>
    <w:p>
      <w:pPr>
        <w:keepNext/>
        <w:spacing w:before="160" w:after="40"/>
      </w:pPr>
      <w:r>
        <w:rPr>
          <w:b/>
          <w:color w:val="1F3964"/>
          <w:sz w:val="22"/>
        </w:rPr>
        <w:t>Key Field Interactions</w:t>
      </w:r>
    </w:p>
    <w:p>
      <w:pPr>
        <w:pStyle w:val="ListBullet"/>
        <w:spacing w:after="60"/>
        <w:ind w:left="283"/>
      </w:pPr>
      <w:r>
        <w:rPr>
          <w:sz w:val="22"/>
        </w:rPr>
        <w:t>Applied when sku_a and sku_b are promoted at the same retailer in overlapping weeks</w:t>
      </w:r>
    </w:p>
    <w:p>
      <w:pPr>
        <w:pStyle w:val="ListBullet"/>
        <w:spacing w:after="60"/>
        <w:ind w:left="283"/>
      </w:pPr>
      <w:r>
        <w:rPr>
          <w:sz w:val="22"/>
        </w:rPr>
        <w:t>net_incremental_units(sku_a) = gross_incremental − Σ(incremental × cross_elasticity for each simultaneous sku_b)</w:t>
      </w:r>
    </w:p>
    <w:p>
      <w:pPr>
        <w:pStyle w:val="ListBullet"/>
        <w:spacing w:after="60"/>
        <w:ind w:left="283"/>
      </w:pPr>
      <w:r>
        <w:rPr>
          <w:sz w:val="22"/>
        </w:rPr>
        <w:t>cross_elasticity &gt; 0.20  between simultaneous promos triggers Rule X01 violation</w:t>
      </w:r>
    </w:p>
    <w:p>
      <w:pPr>
        <w:pStyle w:val="ListBullet"/>
        <w:spacing w:after="60"/>
        <w:ind w:left="283"/>
      </w:pPr>
      <w:r>
        <w:rPr>
          <w:sz w:val="22"/>
        </w:rPr>
        <w:t>The matrix is asymmetric: theft A→B ≠ theft B→A</w:t>
      </w:r>
    </w:p>
    <w:p>
      <w:pPr>
        <w:keepNext/>
        <w:spacing w:before="240" w:after="80"/>
      </w:pPr>
      <w:r>
        <w:rPr>
          <w:b/>
          <w:color w:val="2E75B6"/>
          <w:sz w:val="26"/>
        </w:rPr>
        <w:t>4.7  trade_spend_ledger.csv  (~2,000 rows — accounting transactions)</w:t>
      </w:r>
    </w:p>
    <w:p>
      <w:pPr>
        <w:spacing w:after="120"/>
      </w:pPr>
      <w:r>
        <w:rPr>
          <w:sz w:val="22"/>
        </w:rPr>
        <w:t>GL-level trade spend transactions for post-hoc audit and reconciliation. Not used in live planning calculations.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F3964"/>
            <w:vAlign w:val="center"/>
          </w:tcPr>
          <w:p>
            <w:pPr>
              <w:jc w:val="center"/>
            </w:pPr>
            <w:r>
              <w:rPr>
                <w:b/>
                <w:color w:val="FFFFFF"/>
                <w:sz w:val="20"/>
              </w:rPr>
              <w:t>Column</w:t>
            </w:r>
          </w:p>
        </w:tc>
        <w:tc>
          <w:tcPr>
            <w:tcW w:type="dxa" w:w="1134"/>
            <w:shd w:val="clear" w:color="auto" w:fill="1F3964"/>
            <w:vAlign w:val="center"/>
          </w:tcPr>
          <w:p>
            <w:pPr>
              <w:jc w:val="center"/>
            </w:pPr>
            <w:r>
              <w:rPr>
                <w:b/>
                <w:color w:val="FFFFFF"/>
                <w:sz w:val="20"/>
              </w:rPr>
              <w:t>Type</w:t>
            </w:r>
          </w:p>
        </w:tc>
        <w:tc>
          <w:tcPr>
            <w:tcW w:type="dxa" w:w="1701"/>
            <w:shd w:val="clear" w:color="auto" w:fill="1F3964"/>
            <w:vAlign w:val="center"/>
          </w:tcPr>
          <w:p>
            <w:pPr>
              <w:jc w:val="center"/>
            </w:pPr>
            <w:r>
              <w:rPr>
                <w:b/>
                <w:color w:val="FFFFFF"/>
                <w:sz w:val="20"/>
              </w:rPr>
              <w:t>Example</w:t>
            </w:r>
          </w:p>
        </w:tc>
        <w:tc>
          <w:tcPr>
            <w:tcW w:type="dxa" w:w="3402"/>
            <w:shd w:val="clear" w:color="auto" w:fill="1F3964"/>
            <w:vAlign w:val="center"/>
          </w:tcPr>
          <w:p>
            <w:pPr>
              <w:jc w:val="center"/>
            </w:pPr>
            <w:r>
              <w:rPr>
                <w:b/>
                <w:color w:val="FFFFFF"/>
                <w:sz w:val="20"/>
              </w:rPr>
              <w:t>Role</w:t>
            </w:r>
          </w:p>
        </w:tc>
      </w:tr>
      <w:tr>
        <w:tc>
          <w:tcPr>
            <w:tcW w:type="dxa" w:w="1984"/>
            <w:shd w:val="clear" w:color="auto" w:fill="F2F2F2"/>
            <w:vAlign w:val="center"/>
          </w:tcPr>
          <w:p>
            <w:r>
              <w:rPr>
                <w:b/>
                <w:color w:val="1F3964"/>
                <w:sz w:val="20"/>
              </w:rPr>
              <w:t>transaction_id</w:t>
            </w:r>
          </w:p>
        </w:tc>
        <w:tc>
          <w:tcPr>
            <w:tcW w:type="dxa" w:w="1134"/>
            <w:shd w:val="clear" w:color="auto" w:fill="F2F2F2"/>
            <w:vAlign w:val="center"/>
          </w:tcPr>
          <w:p>
            <w:r>
              <w:rPr>
                <w:sz w:val="20"/>
              </w:rPr>
              <w:t>string</w:t>
            </w:r>
          </w:p>
        </w:tc>
        <w:tc>
          <w:tcPr>
            <w:tcW w:type="dxa" w:w="1701"/>
            <w:shd w:val="clear" w:color="auto" w:fill="F2F2F2"/>
            <w:vAlign w:val="center"/>
          </w:tcPr>
          <w:p>
            <w:r>
              <w:rPr>
                <w:sz w:val="20"/>
              </w:rPr>
              <w:t>TXN-00123</w:t>
            </w:r>
          </w:p>
        </w:tc>
        <w:tc>
          <w:tcPr>
            <w:tcW w:type="dxa" w:w="3402"/>
            <w:shd w:val="clear" w:color="auto" w:fill="F2F2F2"/>
            <w:vAlign w:val="center"/>
          </w:tcPr>
          <w:p>
            <w:r>
              <w:rPr>
                <w:sz w:val="20"/>
              </w:rPr>
              <w:t>Unique ledger entry</w:t>
            </w:r>
          </w:p>
        </w:tc>
      </w:tr>
      <w:tr>
        <w:tc>
          <w:tcPr>
            <w:tcW w:type="dxa" w:w="1984"/>
            <w:shd w:val="clear" w:color="auto" w:fill="FFFFFF"/>
            <w:vAlign w:val="center"/>
          </w:tcPr>
          <w:p>
            <w:r>
              <w:rPr>
                <w:b/>
                <w:color w:val="1F3964"/>
                <w:sz w:val="20"/>
              </w:rPr>
              <w:t>promo_id</w:t>
            </w:r>
          </w:p>
        </w:tc>
        <w:tc>
          <w:tcPr>
            <w:tcW w:type="dxa" w:w="1134"/>
            <w:shd w:val="clear" w:color="auto" w:fill="FFFFFF"/>
            <w:vAlign w:val="center"/>
          </w:tcPr>
          <w:p>
            <w:r>
              <w:rPr>
                <w:sz w:val="20"/>
              </w:rPr>
              <w:t>string</w:t>
            </w:r>
          </w:p>
        </w:tc>
        <w:tc>
          <w:tcPr>
            <w:tcW w:type="dxa" w:w="1701"/>
            <w:shd w:val="clear" w:color="auto" w:fill="FFFFFF"/>
            <w:vAlign w:val="center"/>
          </w:tcPr>
          <w:p>
            <w:r>
              <w:rPr>
                <w:sz w:val="20"/>
              </w:rPr>
              <w:t>PROMO-0042</w:t>
            </w:r>
          </w:p>
        </w:tc>
        <w:tc>
          <w:tcPr>
            <w:tcW w:type="dxa" w:w="3402"/>
            <w:shd w:val="clear" w:color="auto" w:fill="FFFFFF"/>
            <w:vAlign w:val="center"/>
          </w:tcPr>
          <w:p>
            <w:r>
              <w:rPr>
                <w:sz w:val="20"/>
              </w:rPr>
              <w:t>FK to promo_history</w:t>
            </w:r>
          </w:p>
        </w:tc>
      </w:tr>
      <w:tr>
        <w:tc>
          <w:tcPr>
            <w:tcW w:type="dxa" w:w="1984"/>
            <w:shd w:val="clear" w:color="auto" w:fill="F2F2F2"/>
            <w:vAlign w:val="center"/>
          </w:tcPr>
          <w:p>
            <w:r>
              <w:rPr>
                <w:b/>
                <w:color w:val="1F3964"/>
                <w:sz w:val="20"/>
              </w:rPr>
              <w:t>retailer_id</w:t>
            </w:r>
          </w:p>
        </w:tc>
        <w:tc>
          <w:tcPr>
            <w:tcW w:type="dxa" w:w="1134"/>
            <w:shd w:val="clear" w:color="auto" w:fill="F2F2F2"/>
            <w:vAlign w:val="center"/>
          </w:tcPr>
          <w:p>
            <w:r>
              <w:rPr>
                <w:sz w:val="20"/>
              </w:rPr>
              <w:t>string</w:t>
            </w:r>
          </w:p>
        </w:tc>
        <w:tc>
          <w:tcPr>
            <w:tcW w:type="dxa" w:w="1701"/>
            <w:shd w:val="clear" w:color="auto" w:fill="F2F2F2"/>
            <w:vAlign w:val="center"/>
          </w:tcPr>
          <w:p>
            <w:r>
              <w:rPr>
                <w:sz w:val="20"/>
              </w:rPr>
              <w:t>RET-001</w:t>
            </w:r>
          </w:p>
        </w:tc>
        <w:tc>
          <w:tcPr>
            <w:tcW w:type="dxa" w:w="3402"/>
            <w:shd w:val="clear" w:color="auto" w:fill="F2F2F2"/>
            <w:vAlign w:val="center"/>
          </w:tcPr>
          <w:p>
            <w:r>
              <w:rPr>
                <w:sz w:val="20"/>
              </w:rPr>
              <w:t>Retailer invoiced</w:t>
            </w:r>
          </w:p>
        </w:tc>
      </w:tr>
      <w:tr>
        <w:tc>
          <w:tcPr>
            <w:tcW w:type="dxa" w:w="1984"/>
            <w:shd w:val="clear" w:color="auto" w:fill="FFFFFF"/>
            <w:vAlign w:val="center"/>
          </w:tcPr>
          <w:p>
            <w:r>
              <w:rPr>
                <w:b/>
                <w:color w:val="1F3964"/>
                <w:sz w:val="20"/>
              </w:rPr>
              <w:t>spend_type</w:t>
            </w:r>
          </w:p>
        </w:tc>
        <w:tc>
          <w:tcPr>
            <w:tcW w:type="dxa" w:w="1134"/>
            <w:shd w:val="clear" w:color="auto" w:fill="FFFFFF"/>
            <w:vAlign w:val="center"/>
          </w:tcPr>
          <w:p>
            <w:r>
              <w:rPr>
                <w:sz w:val="20"/>
              </w:rPr>
              <w:t>string</w:t>
            </w:r>
          </w:p>
        </w:tc>
        <w:tc>
          <w:tcPr>
            <w:tcW w:type="dxa" w:w="1701"/>
            <w:shd w:val="clear" w:color="auto" w:fill="FFFFFF"/>
            <w:vAlign w:val="center"/>
          </w:tcPr>
          <w:p>
            <w:r>
              <w:rPr>
                <w:sz w:val="20"/>
              </w:rPr>
              <w:t>Off-Invoice</w:t>
            </w:r>
          </w:p>
        </w:tc>
        <w:tc>
          <w:tcPr>
            <w:tcW w:type="dxa" w:w="3402"/>
            <w:shd w:val="clear" w:color="auto" w:fill="FFFFFF"/>
            <w:vAlign w:val="center"/>
          </w:tcPr>
          <w:p>
            <w:r>
              <w:rPr>
                <w:sz w:val="20"/>
              </w:rPr>
              <w:t>Off-Invoice / Scan-Back / Slotting / Display Fee / Co-op</w:t>
            </w:r>
          </w:p>
        </w:tc>
      </w:tr>
      <w:tr>
        <w:tc>
          <w:tcPr>
            <w:tcW w:type="dxa" w:w="1984"/>
            <w:shd w:val="clear" w:color="auto" w:fill="F2F2F2"/>
            <w:vAlign w:val="center"/>
          </w:tcPr>
          <w:p>
            <w:r>
              <w:rPr>
                <w:b/>
                <w:color w:val="1F3964"/>
                <w:sz w:val="20"/>
              </w:rPr>
              <w:t>amount</w:t>
            </w:r>
          </w:p>
        </w:tc>
        <w:tc>
          <w:tcPr>
            <w:tcW w:type="dxa" w:w="1134"/>
            <w:shd w:val="clear" w:color="auto" w:fill="F2F2F2"/>
            <w:vAlign w:val="center"/>
          </w:tcPr>
          <w:p>
            <w:r>
              <w:rPr>
                <w:sz w:val="20"/>
              </w:rPr>
              <w:t>float</w:t>
            </w:r>
          </w:p>
        </w:tc>
        <w:tc>
          <w:tcPr>
            <w:tcW w:type="dxa" w:w="1701"/>
            <w:shd w:val="clear" w:color="auto" w:fill="F2F2F2"/>
            <w:vAlign w:val="center"/>
          </w:tcPr>
          <w:p>
            <w:r>
              <w:rPr>
                <w:sz w:val="20"/>
              </w:rPr>
              <w:t>₹ 3,500</w:t>
            </w:r>
          </w:p>
        </w:tc>
        <w:tc>
          <w:tcPr>
            <w:tcW w:type="dxa" w:w="3402"/>
            <w:shd w:val="clear" w:color="auto" w:fill="F2F2F2"/>
            <w:vAlign w:val="center"/>
          </w:tcPr>
          <w:p>
            <w:r>
              <w:rPr>
                <w:sz w:val="20"/>
              </w:rPr>
              <w:t>Transaction amount</w:t>
            </w:r>
          </w:p>
        </w:tc>
      </w:tr>
      <w:tr>
        <w:tc>
          <w:tcPr>
            <w:tcW w:type="dxa" w:w="1984"/>
            <w:shd w:val="clear" w:color="auto" w:fill="FFFFFF"/>
            <w:vAlign w:val="center"/>
          </w:tcPr>
          <w:p>
            <w:r>
              <w:rPr>
                <w:b/>
                <w:color w:val="1F3964"/>
                <w:sz w:val="20"/>
              </w:rPr>
              <w:t>posted_date</w:t>
            </w:r>
          </w:p>
        </w:tc>
        <w:tc>
          <w:tcPr>
            <w:tcW w:type="dxa" w:w="1134"/>
            <w:shd w:val="clear" w:color="auto" w:fill="FFFFFF"/>
            <w:vAlign w:val="center"/>
          </w:tcPr>
          <w:p>
            <w:r>
              <w:rPr>
                <w:sz w:val="20"/>
              </w:rPr>
              <w:t>date</w:t>
            </w:r>
          </w:p>
        </w:tc>
        <w:tc>
          <w:tcPr>
            <w:tcW w:type="dxa" w:w="1701"/>
            <w:shd w:val="clear" w:color="auto" w:fill="FFFFFF"/>
            <w:vAlign w:val="center"/>
          </w:tcPr>
          <w:p>
            <w:r>
              <w:rPr>
                <w:sz w:val="20"/>
              </w:rPr>
              <w:t>2025-03-15</w:t>
            </w:r>
          </w:p>
        </w:tc>
        <w:tc>
          <w:tcPr>
            <w:tcW w:type="dxa" w:w="3402"/>
            <w:shd w:val="clear" w:color="auto" w:fill="FFFFFF"/>
            <w:vAlign w:val="center"/>
          </w:tcPr>
          <w:p>
            <w:r>
              <w:rPr>
                <w:sz w:val="20"/>
              </w:rPr>
              <w:t>Accounting date</w:t>
            </w:r>
          </w:p>
        </w:tc>
      </w:tr>
      <w:tr>
        <w:tc>
          <w:tcPr>
            <w:tcW w:type="dxa" w:w="1984"/>
            <w:shd w:val="clear" w:color="auto" w:fill="F2F2F2"/>
            <w:vAlign w:val="center"/>
          </w:tcPr>
          <w:p>
            <w:r>
              <w:rPr>
                <w:b/>
                <w:color w:val="1F3964"/>
                <w:sz w:val="20"/>
              </w:rPr>
              <w:t>period</w:t>
            </w:r>
          </w:p>
        </w:tc>
        <w:tc>
          <w:tcPr>
            <w:tcW w:type="dxa" w:w="1134"/>
            <w:shd w:val="clear" w:color="auto" w:fill="F2F2F2"/>
            <w:vAlign w:val="center"/>
          </w:tcPr>
          <w:p>
            <w:r>
              <w:rPr>
                <w:sz w:val="20"/>
              </w:rPr>
              <w:t>string</w:t>
            </w:r>
          </w:p>
        </w:tc>
        <w:tc>
          <w:tcPr>
            <w:tcW w:type="dxa" w:w="1701"/>
            <w:shd w:val="clear" w:color="auto" w:fill="F2F2F2"/>
            <w:vAlign w:val="center"/>
          </w:tcPr>
          <w:p>
            <w:r>
              <w:rPr>
                <w:sz w:val="20"/>
              </w:rPr>
              <w:t>2025-Q1</w:t>
            </w:r>
          </w:p>
        </w:tc>
        <w:tc>
          <w:tcPr>
            <w:tcW w:type="dxa" w:w="3402"/>
            <w:shd w:val="clear" w:color="auto" w:fill="F2F2F2"/>
            <w:vAlign w:val="center"/>
          </w:tcPr>
          <w:p>
            <w:r>
              <w:rPr>
                <w:sz w:val="20"/>
              </w:rPr>
              <w:t>Fiscal period for reporting</w:t>
            </w:r>
          </w:p>
        </w:tc>
      </w:tr>
    </w:tbl>
    <w:p>
      <w:pPr>
        <w:spacing w:after="120"/>
      </w:pPr>
    </w:p>
    <w:p>
      <w:pPr>
        <w:keepNext/>
        <w:spacing w:before="360" w:after="120"/>
        <w:pBdr>
          <w:bottom w:val="single" w:sz="6" w:space="1" w:color="2E75B6"/>
        </w:pBdr>
      </w:pPr>
      <w:r>
        <w:rPr>
          <w:b/>
          <w:color w:val="1F3964"/>
          <w:sz w:val="32"/>
        </w:rPr>
        <w:t>5.  Processing Pipeline</w:t>
      </w:r>
    </w:p>
    <w:p>
      <w:pPr>
        <w:keepNext/>
        <w:spacing w:before="240" w:after="80"/>
      </w:pPr>
      <w:r>
        <w:rPr>
          <w:b/>
          <w:color w:val="2E75B6"/>
          <w:sz w:val="26"/>
        </w:rPr>
        <w:t>5.1  Baseline Forecast  (Tool: get_baseline_forecast)</w:t>
      </w:r>
    </w:p>
    <w:p>
      <w:pPr>
        <w:pStyle w:val="ListBullet"/>
        <w:spacing w:after="60"/>
        <w:ind w:left="283"/>
      </w:pPr>
      <w:r>
        <w:rPr>
          <w:sz w:val="22"/>
        </w:rPr>
        <w:t>Input:  sku_id, retailer_id, quarter</w:t>
      </w:r>
    </w:p>
    <w:p>
      <w:pPr>
        <w:pStyle w:val="ListBullet"/>
        <w:spacing w:after="60"/>
        <w:ind w:left="283"/>
      </w:pPr>
      <w:r>
        <w:rPr>
          <w:sz w:val="22"/>
        </w:rPr>
        <w:t>Queries sales_history for rows where on_promo_flag = False in the target quarter</w:t>
      </w:r>
    </w:p>
    <w:p>
      <w:pPr>
        <w:pStyle w:val="ListBullet"/>
        <w:spacing w:after="60"/>
        <w:ind w:left="283"/>
      </w:pPr>
      <w:r>
        <w:rPr>
          <w:sz w:val="22"/>
        </w:rPr>
        <w:t>Falls back to the same quarter in the prior year if data is sparse</w:t>
      </w:r>
    </w:p>
    <w:p>
      <w:pPr>
        <w:pStyle w:val="ListBullet"/>
        <w:spacing w:after="60"/>
        <w:ind w:left="283"/>
      </w:pPr>
      <w:r>
        <w:rPr>
          <w:sz w:val="22"/>
        </w:rPr>
        <w:t>Output:  projected_weekly_baseline_units, yoy_trend</w:t>
      </w:r>
    </w:p>
    <w:p>
      <w:pPr>
        <w:keepNext/>
        <w:spacing w:before="240" w:after="80"/>
      </w:pPr>
      <w:r>
        <w:rPr>
          <w:b/>
          <w:color w:val="2E75B6"/>
          <w:sz w:val="26"/>
        </w:rPr>
        <w:t>5.2  Lift Estimation  (Tool: estimate_promo_lift)</w:t>
      </w:r>
    </w:p>
    <w:p>
      <w:pPr>
        <w:spacing w:after="120"/>
      </w:pPr>
      <w:r>
        <w:rPr>
          <w:sz w:val="22"/>
        </w:rPr>
        <w:t>Core formula:</w:t>
      </w:r>
    </w:p>
    <w:p>
      <w:pPr>
        <w:spacing w:before="80" w:after="80"/>
        <w:ind w:left="567"/>
        <w:shd w:val="clear" w:color="auto" w:fill="F2F2F2"/>
      </w:pPr>
      <w:r>
        <w:rPr>
          <w:rFonts w:ascii="Courier New" w:hAnsi="Courier New"/>
          <w:color w:val="202020"/>
          <w:sz w:val="18"/>
        </w:rPr>
        <w:t>lift_pct = elasticity(category) × discount_pct × mechanic_multiplier × seasonal_multiplier</w:t>
      </w:r>
    </w:p>
    <w:p>
      <w:pPr>
        <w:spacing w:after="120"/>
      </w:pPr>
      <w:r>
        <w:rPr>
          <w:sz w:val="22"/>
        </w:rPr>
        <w:t>Multiplier lookup tables: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3964"/>
            <w:vAlign w:val="center"/>
          </w:tcPr>
          <w:p>
            <w:pPr>
              <w:jc w:val="center"/>
            </w:pPr>
            <w:r>
              <w:rPr>
                <w:b/>
                <w:color w:val="FFFFFF"/>
                <w:sz w:val="20"/>
              </w:rPr>
              <w:t>Factor</w:t>
            </w:r>
          </w:p>
        </w:tc>
        <w:tc>
          <w:tcPr>
            <w:tcW w:type="dxa" w:w="2551"/>
            <w:shd w:val="clear" w:color="auto" w:fill="1F3964"/>
            <w:vAlign w:val="center"/>
          </w:tcPr>
          <w:p>
            <w:pPr>
              <w:jc w:val="center"/>
            </w:pPr>
            <w:r>
              <w:rPr>
                <w:b/>
                <w:color w:val="FFFFFF"/>
                <w:sz w:val="20"/>
              </w:rPr>
              <w:t>Source</w:t>
            </w:r>
          </w:p>
        </w:tc>
        <w:tc>
          <w:tcPr>
            <w:tcW w:type="dxa" w:w="3402"/>
            <w:shd w:val="clear" w:color="auto" w:fill="1F3964"/>
            <w:vAlign w:val="center"/>
          </w:tcPr>
          <w:p>
            <w:pPr>
              <w:jc w:val="center"/>
            </w:pPr>
            <w:r>
              <w:rPr>
                <w:b/>
                <w:color w:val="FFFFFF"/>
                <w:sz w:val="20"/>
              </w:rPr>
              <w:t>Values</w:t>
            </w:r>
          </w:p>
        </w:tc>
      </w:tr>
      <w:tr>
        <w:tc>
          <w:tcPr>
            <w:tcW w:type="dxa" w:w="2268"/>
            <w:shd w:val="clear" w:color="auto" w:fill="F2F2F2"/>
            <w:vAlign w:val="center"/>
          </w:tcPr>
          <w:p>
            <w:r>
              <w:rPr>
                <w:b/>
                <w:color w:val="1F3964"/>
                <w:sz w:val="20"/>
              </w:rPr>
              <w:t>Category elasticity</w:t>
            </w:r>
          </w:p>
        </w:tc>
        <w:tc>
          <w:tcPr>
            <w:tcW w:type="dxa" w:w="2551"/>
            <w:shd w:val="clear" w:color="auto" w:fill="F2F2F2"/>
            <w:vAlign w:val="center"/>
          </w:tcPr>
          <w:p>
            <w:r>
              <w:rPr>
                <w:sz w:val="20"/>
              </w:rPr>
              <w:t>sku_master.category</w:t>
            </w:r>
          </w:p>
        </w:tc>
        <w:tc>
          <w:tcPr>
            <w:tcW w:type="dxa" w:w="3402"/>
            <w:shd w:val="clear" w:color="auto" w:fill="F2F2F2"/>
            <w:vAlign w:val="center"/>
          </w:tcPr>
          <w:p>
            <w:r>
              <w:rPr>
                <w:sz w:val="20"/>
              </w:rPr>
              <w:t>Coffee=2.5, Tea=2.0, Juice=1.5, Chips=2.0, Biscuits=1.8</w:t>
            </w:r>
          </w:p>
        </w:tc>
      </w:tr>
      <w:tr>
        <w:tc>
          <w:tcPr>
            <w:tcW w:type="dxa" w:w="2268"/>
            <w:shd w:val="clear" w:color="auto" w:fill="FFFFFF"/>
            <w:vAlign w:val="center"/>
          </w:tcPr>
          <w:p>
            <w:r>
              <w:rPr>
                <w:b/>
                <w:color w:val="1F3964"/>
                <w:sz w:val="20"/>
              </w:rPr>
              <w:t>Mechanic multiplier</w:t>
            </w:r>
          </w:p>
        </w:tc>
        <w:tc>
          <w:tcPr>
            <w:tcW w:type="dxa" w:w="2551"/>
            <w:shd w:val="clear" w:color="auto" w:fill="FFFFFF"/>
            <w:vAlign w:val="center"/>
          </w:tcPr>
          <w:p>
            <w:r>
              <w:rPr>
                <w:sz w:val="20"/>
              </w:rPr>
              <w:t>promo event.mechanic</w:t>
            </w:r>
          </w:p>
        </w:tc>
        <w:tc>
          <w:tcPr>
            <w:tcW w:type="dxa" w:w="3402"/>
            <w:shd w:val="clear" w:color="auto" w:fill="FFFFFF"/>
            <w:vAlign w:val="center"/>
          </w:tcPr>
          <w:p>
            <w:r>
              <w:rPr>
                <w:sz w:val="20"/>
              </w:rPr>
              <w:t>Price Off=1.0, BOGO=1.8, Display=0.6, Feature=0.8, Combo=0.7</w:t>
            </w:r>
          </w:p>
        </w:tc>
      </w:tr>
      <w:tr>
        <w:tc>
          <w:tcPr>
            <w:tcW w:type="dxa" w:w="2268"/>
            <w:shd w:val="clear" w:color="auto" w:fill="F2F2F2"/>
            <w:vAlign w:val="center"/>
          </w:tcPr>
          <w:p>
            <w:r>
              <w:rPr>
                <w:b/>
                <w:color w:val="1F3964"/>
                <w:sz w:val="20"/>
              </w:rPr>
              <w:t>Season multiplier</w:t>
            </w:r>
          </w:p>
        </w:tc>
        <w:tc>
          <w:tcPr>
            <w:tcW w:type="dxa" w:w="2551"/>
            <w:shd w:val="clear" w:color="auto" w:fill="F2F2F2"/>
            <w:vAlign w:val="center"/>
          </w:tcPr>
          <w:p>
            <w:r>
              <w:rPr>
                <w:sz w:val="20"/>
              </w:rPr>
              <w:t>calendar.season</w:t>
            </w:r>
          </w:p>
        </w:tc>
        <w:tc>
          <w:tcPr>
            <w:tcW w:type="dxa" w:w="3402"/>
            <w:shd w:val="clear" w:color="auto" w:fill="F2F2F2"/>
            <w:vAlign w:val="center"/>
          </w:tcPr>
          <w:p>
            <w:r>
              <w:rPr>
                <w:sz w:val="20"/>
              </w:rPr>
              <w:t>Winter=0.9, Summer=1.1, Monsoon=0.8, Festive=1.3</w:t>
            </w:r>
          </w:p>
        </w:tc>
      </w:tr>
      <w:tr>
        <w:tc>
          <w:tcPr>
            <w:tcW w:type="dxa" w:w="2268"/>
            <w:shd w:val="clear" w:color="auto" w:fill="FFFFFF"/>
            <w:vAlign w:val="center"/>
          </w:tcPr>
          <w:p>
            <w:r>
              <w:rPr>
                <w:b/>
                <w:color w:val="1F3964"/>
                <w:sz w:val="20"/>
              </w:rPr>
              <w:t>Festival multiplier</w:t>
            </w:r>
          </w:p>
        </w:tc>
        <w:tc>
          <w:tcPr>
            <w:tcW w:type="dxa" w:w="2551"/>
            <w:shd w:val="clear" w:color="auto" w:fill="FFFFFF"/>
            <w:vAlign w:val="center"/>
          </w:tcPr>
          <w:p>
            <w:r>
              <w:rPr>
                <w:sz w:val="20"/>
              </w:rPr>
              <w:t>calendar.festival_flag</w:t>
            </w:r>
          </w:p>
        </w:tc>
        <w:tc>
          <w:tcPr>
            <w:tcW w:type="dxa" w:w="3402"/>
            <w:shd w:val="clear" w:color="auto" w:fill="FFFFFF"/>
            <w:vAlign w:val="center"/>
          </w:tcPr>
          <w:p>
            <w:r>
              <w:rPr>
                <w:sz w:val="20"/>
              </w:rPr>
              <w:t>1.40× overrides season when festival_flag ≠ ''</w:t>
            </w:r>
          </w:p>
        </w:tc>
      </w:tr>
      <w:tr>
        <w:tc>
          <w:tcPr>
            <w:tcW w:type="dxa" w:w="2268"/>
            <w:shd w:val="clear" w:color="auto" w:fill="F2F2F2"/>
            <w:vAlign w:val="center"/>
          </w:tcPr>
          <w:p>
            <w:r>
              <w:rPr>
                <w:b/>
                <w:color w:val="1F3964"/>
                <w:sz w:val="20"/>
              </w:rPr>
              <w:t>Tier multiplier</w:t>
            </w:r>
          </w:p>
        </w:tc>
        <w:tc>
          <w:tcPr>
            <w:tcW w:type="dxa" w:w="2551"/>
            <w:shd w:val="clear" w:color="auto" w:fill="F2F2F2"/>
            <w:vAlign w:val="center"/>
          </w:tcPr>
          <w:p>
            <w:r>
              <w:rPr>
                <w:sz w:val="20"/>
              </w:rPr>
              <w:t>retailer_master.tier</w:t>
            </w:r>
          </w:p>
        </w:tc>
        <w:tc>
          <w:tcPr>
            <w:tcW w:type="dxa" w:w="3402"/>
            <w:shd w:val="clear" w:color="auto" w:fill="F2F2F2"/>
            <w:vAlign w:val="center"/>
          </w:tcPr>
          <w:p>
            <w:r>
              <w:rPr>
                <w:sz w:val="20"/>
              </w:rPr>
              <w:t>Tier 1=1.5×, Tier 2=0.8×, Tier 3=0.25×</w:t>
            </w:r>
          </w:p>
        </w:tc>
      </w:tr>
    </w:tbl>
    <w:p>
      <w:pPr>
        <w:spacing w:after="120"/>
      </w:pPr>
    </w:p>
    <w:p>
      <w:pPr>
        <w:keepNext/>
        <w:spacing w:before="240" w:after="80"/>
      </w:pPr>
      <w:r>
        <w:rPr>
          <w:b/>
          <w:color w:val="2E75B6"/>
          <w:sz w:val="26"/>
        </w:rPr>
        <w:t>5.3  Cannibalization Adjustment  (Tool: simulate_plan)</w:t>
      </w:r>
    </w:p>
    <w:p>
      <w:pPr>
        <w:spacing w:before="80" w:after="80"/>
        <w:ind w:left="567"/>
        <w:shd w:val="clear" w:color="auto" w:fill="F2F2F2"/>
      </w:pPr>
      <w:r>
        <w:rPr>
          <w:rFonts w:ascii="Courier New" w:hAnsi="Courier New"/>
          <w:color w:val="202020"/>
          <w:sz w:val="18"/>
        </w:rPr>
        <w:t>for each event A:</w:t>
        <w:br/>
        <w:t xml:space="preserve">    for each simultaneous event B at same retailer:</w:t>
        <w:br/>
        <w:t xml:space="preserve">        loss += A.incremental_units × cross_elasticity(A, B)</w:t>
        <w:br/>
        <w:t>net_incremental_units(A) = max(0, A.incremental_units − loss)</w:t>
      </w:r>
    </w:p>
    <w:p>
      <w:pPr>
        <w:keepNext/>
        <w:spacing w:before="240" w:after="80"/>
      </w:pPr>
      <w:r>
        <w:rPr>
          <w:b/>
          <w:color w:val="2E75B6"/>
          <w:sz w:val="26"/>
        </w:rPr>
        <w:t>5.4  ROI Calculation</w:t>
      </w:r>
    </w:p>
    <w:p>
      <w:pPr>
        <w:spacing w:before="80" w:after="80"/>
        <w:ind w:left="567"/>
        <w:shd w:val="clear" w:color="auto" w:fill="F2F2F2"/>
      </w:pPr>
      <w:r>
        <w:rPr>
          <w:rFonts w:ascii="Courier New" w:hAnsi="Courier New"/>
          <w:color w:val="202020"/>
          <w:sz w:val="18"/>
        </w:rPr>
        <w:t>promo_price             = list_price × (1 − discount_depth_pct)</w:t>
        <w:br/>
        <w:t>incremental_revenue     = net_incremental_units × promo_price</w:t>
        <w:br/>
        <w:t>incremental_gp          = net_incremental_units × (promo_price − cogs_per_unit)</w:t>
        <w:br/>
        <w:t>brand_investment        = total_promo_units × list_price × discount × (1 − coop_pct)</w:t>
        <w:br/>
        <w:t>event_roi               = incremental_gp / brand_investment</w:t>
        <w:br/>
        <w:t>plan_roi                = Σ(incremental_gp) / Σ(brand_investment)</w:t>
      </w:r>
    </w:p>
    <w:p>
      <w:pPr>
        <w:keepNext/>
        <w:spacing w:before="360" w:after="120"/>
        <w:pBdr>
          <w:bottom w:val="single" w:sz="6" w:space="1" w:color="2E75B6"/>
        </w:pBdr>
      </w:pPr>
      <w:r>
        <w:rPr>
          <w:b/>
          <w:color w:val="1F3964"/>
          <w:sz w:val="32"/>
        </w:rPr>
        <w:t>6.  Compliance Rules Reference</w:t>
      </w:r>
    </w:p>
    <w:p>
      <w:pPr>
        <w:spacing w:after="120"/>
      </w:pPr>
      <w:r>
        <w:rPr>
          <w:sz w:val="22"/>
        </w:rPr>
        <w:t>All 17 rules are checked automatically during simulate_plan. Red = violation blocks submission.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1F3964"/>
            <w:vAlign w:val="center"/>
          </w:tcPr>
          <w:p>
            <w:pPr>
              <w:jc w:val="center"/>
            </w:pPr>
            <w:r>
              <w:rPr>
                <w:b/>
                <w:color w:val="FFFFFF"/>
                <w:sz w:val="20"/>
              </w:rPr>
              <w:t>Rule ID</w:t>
            </w:r>
          </w:p>
        </w:tc>
        <w:tc>
          <w:tcPr>
            <w:tcW w:type="dxa" w:w="1417"/>
            <w:shd w:val="clear" w:color="auto" w:fill="1F3964"/>
            <w:vAlign w:val="center"/>
          </w:tcPr>
          <w:p>
            <w:pPr>
              <w:jc w:val="center"/>
            </w:pPr>
            <w:r>
              <w:rPr>
                <w:b/>
                <w:color w:val="FFFFFF"/>
                <w:sz w:val="20"/>
              </w:rPr>
              <w:t>Category</w:t>
            </w:r>
          </w:p>
        </w:tc>
        <w:tc>
          <w:tcPr>
            <w:tcW w:type="dxa" w:w="3118"/>
            <w:shd w:val="clear" w:color="auto" w:fill="1F3964"/>
            <w:vAlign w:val="center"/>
          </w:tcPr>
          <w:p>
            <w:pPr>
              <w:jc w:val="center"/>
            </w:pPr>
            <w:r>
              <w:rPr>
                <w:b/>
                <w:color w:val="FFFFFF"/>
                <w:sz w:val="20"/>
              </w:rPr>
              <w:t>Condition</w:t>
            </w:r>
          </w:p>
        </w:tc>
        <w:tc>
          <w:tcPr>
            <w:tcW w:type="dxa" w:w="2551"/>
            <w:shd w:val="clear" w:color="auto" w:fill="1F3964"/>
            <w:vAlign w:val="center"/>
          </w:tcPr>
          <w:p>
            <w:pPr>
              <w:jc w:val="center"/>
            </w:pPr>
            <w:r>
              <w:rPr>
                <w:b/>
                <w:color w:val="FFFFFF"/>
                <w:sz w:val="20"/>
              </w:rPr>
              <w:t>Action if Violated</w:t>
            </w:r>
          </w:p>
        </w:tc>
      </w:tr>
      <w:tr>
        <w:tc>
          <w:tcPr>
            <w:tcW w:type="dxa" w:w="1134"/>
            <w:shd w:val="clear" w:color="auto" w:fill="F2F2F2"/>
            <w:vAlign w:val="center"/>
          </w:tcPr>
          <w:p>
            <w:r>
              <w:rPr>
                <w:b/>
                <w:color w:val="1F3964"/>
                <w:sz w:val="20"/>
              </w:rPr>
              <w:t>B01</w:t>
            </w:r>
          </w:p>
        </w:tc>
        <w:tc>
          <w:tcPr>
            <w:tcW w:type="dxa" w:w="1417"/>
            <w:shd w:val="clear" w:color="auto" w:fill="F2F2F2"/>
            <w:vAlign w:val="center"/>
          </w:tcPr>
          <w:p>
            <w:r>
              <w:rPr>
                <w:sz w:val="20"/>
              </w:rPr>
              <w:t>Budget</w:t>
            </w:r>
          </w:p>
        </w:tc>
        <w:tc>
          <w:tcPr>
            <w:tcW w:type="dxa" w:w="3118"/>
            <w:shd w:val="clear" w:color="auto" w:fill="F2F2F2"/>
            <w:vAlign w:val="center"/>
          </w:tcPr>
          <w:p>
            <w:r>
              <w:rPr>
                <w:sz w:val="20"/>
              </w:rPr>
              <w:t>Total plan spend &gt; ₹50M</w:t>
            </w:r>
          </w:p>
        </w:tc>
        <w:tc>
          <w:tcPr>
            <w:tcW w:type="dxa" w:w="2551"/>
            <w:shd w:val="clear" w:color="auto" w:fill="F2F2F2"/>
            <w:vAlign w:val="center"/>
          </w:tcPr>
          <w:p>
            <w:r>
              <w:rPr>
                <w:sz w:val="20"/>
              </w:rPr>
              <w:t>Reduce events or discount depth</w:t>
            </w:r>
          </w:p>
        </w:tc>
      </w:tr>
      <w:tr>
        <w:tc>
          <w:tcPr>
            <w:tcW w:type="dxa" w:w="1134"/>
            <w:shd w:val="clear" w:color="auto" w:fill="FFFFFF"/>
            <w:vAlign w:val="center"/>
          </w:tcPr>
          <w:p>
            <w:r>
              <w:rPr>
                <w:b/>
                <w:color w:val="1F3964"/>
                <w:sz w:val="20"/>
              </w:rPr>
              <w:t>B02</w:t>
            </w:r>
          </w:p>
        </w:tc>
        <w:tc>
          <w:tcPr>
            <w:tcW w:type="dxa" w:w="1417"/>
            <w:shd w:val="clear" w:color="auto" w:fill="FFFFFF"/>
            <w:vAlign w:val="center"/>
          </w:tcPr>
          <w:p>
            <w:r>
              <w:rPr>
                <w:sz w:val="20"/>
              </w:rPr>
              <w:t>Budget</w:t>
            </w:r>
          </w:p>
        </w:tc>
        <w:tc>
          <w:tcPr>
            <w:tcW w:type="dxa" w:w="3118"/>
            <w:shd w:val="clear" w:color="auto" w:fill="FFFFFF"/>
            <w:vAlign w:val="center"/>
          </w:tcPr>
          <w:p>
            <w:r>
              <w:rPr>
                <w:sz w:val="20"/>
              </w:rPr>
              <w:t>Tier 1 spend &lt; 35% or &gt; 55% of total</w:t>
            </w:r>
          </w:p>
        </w:tc>
        <w:tc>
          <w:tcPr>
            <w:tcW w:type="dxa" w:w="2551"/>
            <w:shd w:val="clear" w:color="auto" w:fill="FFFFFF"/>
            <w:vAlign w:val="center"/>
          </w:tcPr>
          <w:p>
            <w:r>
              <w:rPr>
                <w:sz w:val="20"/>
              </w:rPr>
              <w:t>Rebalance spend between tiers</w:t>
            </w:r>
          </w:p>
        </w:tc>
      </w:tr>
      <w:tr>
        <w:tc>
          <w:tcPr>
            <w:tcW w:type="dxa" w:w="1134"/>
            <w:shd w:val="clear" w:color="auto" w:fill="F2F2F2"/>
            <w:vAlign w:val="center"/>
          </w:tcPr>
          <w:p>
            <w:r>
              <w:rPr>
                <w:b/>
                <w:color w:val="1F3964"/>
                <w:sz w:val="20"/>
              </w:rPr>
              <w:t>B03</w:t>
            </w:r>
          </w:p>
        </w:tc>
        <w:tc>
          <w:tcPr>
            <w:tcW w:type="dxa" w:w="1417"/>
            <w:shd w:val="clear" w:color="auto" w:fill="F2F2F2"/>
            <w:vAlign w:val="center"/>
          </w:tcPr>
          <w:p>
            <w:r>
              <w:rPr>
                <w:sz w:val="20"/>
              </w:rPr>
              <w:t>Budget</w:t>
            </w:r>
          </w:p>
        </w:tc>
        <w:tc>
          <w:tcPr>
            <w:tcW w:type="dxa" w:w="3118"/>
            <w:shd w:val="clear" w:color="auto" w:fill="F2F2F2"/>
            <w:vAlign w:val="center"/>
          </w:tcPr>
          <w:p>
            <w:r>
              <w:rPr>
                <w:sz w:val="20"/>
              </w:rPr>
              <w:t>Single SKU &gt; 12% of total spend</w:t>
            </w:r>
          </w:p>
        </w:tc>
        <w:tc>
          <w:tcPr>
            <w:tcW w:type="dxa" w:w="2551"/>
            <w:shd w:val="clear" w:color="auto" w:fill="F2F2F2"/>
            <w:vAlign w:val="center"/>
          </w:tcPr>
          <w:p>
            <w:r>
              <w:rPr>
                <w:sz w:val="20"/>
              </w:rPr>
              <w:t>Spread budget across more SKUs</w:t>
            </w:r>
          </w:p>
        </w:tc>
      </w:tr>
      <w:tr>
        <w:tc>
          <w:tcPr>
            <w:tcW w:type="dxa" w:w="1134"/>
            <w:shd w:val="clear" w:color="auto" w:fill="FFFFFF"/>
            <w:vAlign w:val="center"/>
          </w:tcPr>
          <w:p>
            <w:r>
              <w:rPr>
                <w:b/>
                <w:color w:val="1F3964"/>
                <w:sz w:val="20"/>
              </w:rPr>
              <w:t>D01</w:t>
            </w:r>
          </w:p>
        </w:tc>
        <w:tc>
          <w:tcPr>
            <w:tcW w:type="dxa" w:w="1417"/>
            <w:shd w:val="clear" w:color="auto" w:fill="FFFFFF"/>
            <w:vAlign w:val="center"/>
          </w:tcPr>
          <w:p>
            <w:r>
              <w:rPr>
                <w:sz w:val="20"/>
              </w:rPr>
              <w:t>Discount</w:t>
            </w:r>
          </w:p>
        </w:tc>
        <w:tc>
          <w:tcPr>
            <w:tcW w:type="dxa" w:w="3118"/>
            <w:shd w:val="clear" w:color="auto" w:fill="FFFFFF"/>
            <w:vAlign w:val="center"/>
          </w:tcPr>
          <w:p>
            <w:r>
              <w:rPr>
                <w:sz w:val="20"/>
              </w:rPr>
              <w:t>list_price &gt; ₹400 AND discount &gt; 15%</w:t>
            </w:r>
          </w:p>
        </w:tc>
        <w:tc>
          <w:tcPr>
            <w:tcW w:type="dxa" w:w="2551"/>
            <w:shd w:val="clear" w:color="auto" w:fill="FFFFFF"/>
            <w:vAlign w:val="center"/>
          </w:tcPr>
          <w:p>
            <w:r>
              <w:rPr>
                <w:sz w:val="20"/>
              </w:rPr>
              <w:t>Reduce discount to ≤ 15%</w:t>
            </w:r>
          </w:p>
        </w:tc>
      </w:tr>
      <w:tr>
        <w:tc>
          <w:tcPr>
            <w:tcW w:type="dxa" w:w="1134"/>
            <w:shd w:val="clear" w:color="auto" w:fill="F2F2F2"/>
            <w:vAlign w:val="center"/>
          </w:tcPr>
          <w:p>
            <w:r>
              <w:rPr>
                <w:b/>
                <w:color w:val="1F3964"/>
                <w:sz w:val="20"/>
              </w:rPr>
              <w:t>D02</w:t>
            </w:r>
          </w:p>
        </w:tc>
        <w:tc>
          <w:tcPr>
            <w:tcW w:type="dxa" w:w="1417"/>
            <w:shd w:val="clear" w:color="auto" w:fill="F2F2F2"/>
            <w:vAlign w:val="center"/>
          </w:tcPr>
          <w:p>
            <w:r>
              <w:rPr>
                <w:sz w:val="20"/>
              </w:rPr>
              <w:t>Discount</w:t>
            </w:r>
          </w:p>
        </w:tc>
        <w:tc>
          <w:tcPr>
            <w:tcW w:type="dxa" w:w="3118"/>
            <w:shd w:val="clear" w:color="auto" w:fill="F2F2F2"/>
            <w:vAlign w:val="center"/>
          </w:tcPr>
          <w:p>
            <w:r>
              <w:rPr>
                <w:sz w:val="20"/>
              </w:rPr>
              <w:t>Any discount &gt; 30%</w:t>
            </w:r>
          </w:p>
        </w:tc>
        <w:tc>
          <w:tcPr>
            <w:tcW w:type="dxa" w:w="2551"/>
            <w:shd w:val="clear" w:color="auto" w:fill="F2F2F2"/>
            <w:vAlign w:val="center"/>
          </w:tcPr>
          <w:p>
            <w:r>
              <w:rPr>
                <w:sz w:val="20"/>
              </w:rPr>
              <w:t>Reduce discount to ≤ 30%</w:t>
            </w:r>
          </w:p>
        </w:tc>
      </w:tr>
      <w:tr>
        <w:tc>
          <w:tcPr>
            <w:tcW w:type="dxa" w:w="1134"/>
            <w:shd w:val="clear" w:color="auto" w:fill="FFFFFF"/>
            <w:vAlign w:val="center"/>
          </w:tcPr>
          <w:p>
            <w:r>
              <w:rPr>
                <w:b/>
                <w:color w:val="1F3964"/>
                <w:sz w:val="20"/>
              </w:rPr>
              <w:t>D03</w:t>
            </w:r>
          </w:p>
        </w:tc>
        <w:tc>
          <w:tcPr>
            <w:tcW w:type="dxa" w:w="1417"/>
            <w:shd w:val="clear" w:color="auto" w:fill="FFFFFF"/>
            <w:vAlign w:val="center"/>
          </w:tcPr>
          <w:p>
            <w:r>
              <w:rPr>
                <w:sz w:val="20"/>
              </w:rPr>
              <w:t>Discount</w:t>
            </w:r>
          </w:p>
        </w:tc>
        <w:tc>
          <w:tcPr>
            <w:tcW w:type="dxa" w:w="3118"/>
            <w:shd w:val="clear" w:color="auto" w:fill="FFFFFF"/>
            <w:vAlign w:val="center"/>
          </w:tcPr>
          <w:p>
            <w:r>
              <w:rPr>
                <w:sz w:val="20"/>
              </w:rPr>
              <w:t>Any discount &lt; 5%</w:t>
            </w:r>
          </w:p>
        </w:tc>
        <w:tc>
          <w:tcPr>
            <w:tcW w:type="dxa" w:w="2551"/>
            <w:shd w:val="clear" w:color="auto" w:fill="FFFFFF"/>
            <w:vAlign w:val="center"/>
          </w:tcPr>
          <w:p>
            <w:r>
              <w:rPr>
                <w:sz w:val="20"/>
              </w:rPr>
              <w:t>Raise discount to ≥ 5%</w:t>
            </w:r>
          </w:p>
        </w:tc>
      </w:tr>
      <w:tr>
        <w:tc>
          <w:tcPr>
            <w:tcW w:type="dxa" w:w="1134"/>
            <w:shd w:val="clear" w:color="auto" w:fill="F2F2F2"/>
            <w:vAlign w:val="center"/>
          </w:tcPr>
          <w:p>
            <w:r>
              <w:rPr>
                <w:b/>
                <w:color w:val="1F3964"/>
                <w:sz w:val="20"/>
              </w:rPr>
              <w:t>M01</w:t>
            </w:r>
          </w:p>
        </w:tc>
        <w:tc>
          <w:tcPr>
            <w:tcW w:type="dxa" w:w="1417"/>
            <w:shd w:val="clear" w:color="auto" w:fill="F2F2F2"/>
            <w:vAlign w:val="center"/>
          </w:tcPr>
          <w:p>
            <w:r>
              <w:rPr>
                <w:sz w:val="20"/>
              </w:rPr>
              <w:t>Mechanic</w:t>
            </w:r>
          </w:p>
        </w:tc>
        <w:tc>
          <w:tcPr>
            <w:tcW w:type="dxa" w:w="3118"/>
            <w:shd w:val="clear" w:color="auto" w:fill="F2F2F2"/>
            <w:vAlign w:val="center"/>
          </w:tcPr>
          <w:p>
            <w:r>
              <w:rPr>
                <w:sz w:val="20"/>
              </w:rPr>
              <w:t>BOGO on SKU with gross_margin_pct ≤ 0.40</w:t>
            </w:r>
          </w:p>
        </w:tc>
        <w:tc>
          <w:tcPr>
            <w:tcW w:type="dxa" w:w="2551"/>
            <w:shd w:val="clear" w:color="auto" w:fill="F2F2F2"/>
            <w:vAlign w:val="center"/>
          </w:tcPr>
          <w:p>
            <w:r>
              <w:rPr>
                <w:sz w:val="20"/>
              </w:rPr>
              <w:t>Switch mechanic or choose higher-margin SKU</w:t>
            </w:r>
          </w:p>
        </w:tc>
      </w:tr>
      <w:tr>
        <w:tc>
          <w:tcPr>
            <w:tcW w:type="dxa" w:w="1134"/>
            <w:shd w:val="clear" w:color="auto" w:fill="FFFFFF"/>
            <w:vAlign w:val="center"/>
          </w:tcPr>
          <w:p>
            <w:r>
              <w:rPr>
                <w:b/>
                <w:color w:val="1F3964"/>
                <w:sz w:val="20"/>
              </w:rPr>
              <w:t>M02</w:t>
            </w:r>
          </w:p>
        </w:tc>
        <w:tc>
          <w:tcPr>
            <w:tcW w:type="dxa" w:w="1417"/>
            <w:shd w:val="clear" w:color="auto" w:fill="FFFFFF"/>
            <w:vAlign w:val="center"/>
          </w:tcPr>
          <w:p>
            <w:r>
              <w:rPr>
                <w:sz w:val="20"/>
              </w:rPr>
              <w:t>Mechanic</w:t>
            </w:r>
          </w:p>
        </w:tc>
        <w:tc>
          <w:tcPr>
            <w:tcW w:type="dxa" w:w="3118"/>
            <w:shd w:val="clear" w:color="auto" w:fill="FFFFFF"/>
            <w:vAlign w:val="center"/>
          </w:tcPr>
          <w:p>
            <w:r>
              <w:rPr>
                <w:sz w:val="20"/>
              </w:rPr>
              <w:t>Combo with &lt; 2 subcategories</w:t>
            </w:r>
          </w:p>
        </w:tc>
        <w:tc>
          <w:tcPr>
            <w:tcW w:type="dxa" w:w="2551"/>
            <w:shd w:val="clear" w:color="auto" w:fill="FFFFFF"/>
            <w:vAlign w:val="center"/>
          </w:tcPr>
          <w:p>
            <w:r>
              <w:rPr>
                <w:sz w:val="20"/>
              </w:rPr>
              <w:t>Add SKU from different subcategory</w:t>
            </w:r>
          </w:p>
        </w:tc>
      </w:tr>
      <w:tr>
        <w:tc>
          <w:tcPr>
            <w:tcW w:type="dxa" w:w="1134"/>
            <w:shd w:val="clear" w:color="auto" w:fill="F2F2F2"/>
            <w:vAlign w:val="center"/>
          </w:tcPr>
          <w:p>
            <w:r>
              <w:rPr>
                <w:b/>
                <w:color w:val="1F3964"/>
                <w:sz w:val="20"/>
              </w:rPr>
              <w:t>M03</w:t>
            </w:r>
          </w:p>
        </w:tc>
        <w:tc>
          <w:tcPr>
            <w:tcW w:type="dxa" w:w="1417"/>
            <w:shd w:val="clear" w:color="auto" w:fill="F2F2F2"/>
            <w:vAlign w:val="center"/>
          </w:tcPr>
          <w:p>
            <w:r>
              <w:rPr>
                <w:sz w:val="20"/>
              </w:rPr>
              <w:t>Mechanic</w:t>
            </w:r>
          </w:p>
        </w:tc>
        <w:tc>
          <w:tcPr>
            <w:tcW w:type="dxa" w:w="3118"/>
            <w:shd w:val="clear" w:color="auto" w:fill="F2F2F2"/>
            <w:vAlign w:val="center"/>
          </w:tcPr>
          <w:p>
            <w:r>
              <w:rPr>
                <w:sz w:val="20"/>
              </w:rPr>
              <w:t>Display event &lt; 2 weeks duration</w:t>
            </w:r>
          </w:p>
        </w:tc>
        <w:tc>
          <w:tcPr>
            <w:tcW w:type="dxa" w:w="2551"/>
            <w:shd w:val="clear" w:color="auto" w:fill="F2F2F2"/>
            <w:vAlign w:val="center"/>
          </w:tcPr>
          <w:p>
            <w:r>
              <w:rPr>
                <w:sz w:val="20"/>
              </w:rPr>
              <w:t>Extend to ≥ 2 weeks</w:t>
            </w:r>
          </w:p>
        </w:tc>
      </w:tr>
      <w:tr>
        <w:tc>
          <w:tcPr>
            <w:tcW w:type="dxa" w:w="1134"/>
            <w:shd w:val="clear" w:color="auto" w:fill="FFFFFF"/>
            <w:vAlign w:val="center"/>
          </w:tcPr>
          <w:p>
            <w:r>
              <w:rPr>
                <w:b/>
                <w:color w:val="1F3964"/>
                <w:sz w:val="20"/>
              </w:rPr>
              <w:t>E01</w:t>
            </w:r>
          </w:p>
        </w:tc>
        <w:tc>
          <w:tcPr>
            <w:tcW w:type="dxa" w:w="1417"/>
            <w:shd w:val="clear" w:color="auto" w:fill="FFFFFF"/>
            <w:vAlign w:val="center"/>
          </w:tcPr>
          <w:p>
            <w:r>
              <w:rPr>
                <w:sz w:val="20"/>
              </w:rPr>
              <w:t>Eligibility</w:t>
            </w:r>
          </w:p>
        </w:tc>
        <w:tc>
          <w:tcPr>
            <w:tcW w:type="dxa" w:w="3118"/>
            <w:shd w:val="clear" w:color="auto" w:fill="FFFFFF"/>
            <w:vAlign w:val="center"/>
          </w:tcPr>
          <w:p>
            <w:r>
              <w:rPr>
                <w:sz w:val="20"/>
              </w:rPr>
              <w:t>SKU launched &lt; 90 days before promo start</w:t>
            </w:r>
          </w:p>
        </w:tc>
        <w:tc>
          <w:tcPr>
            <w:tcW w:type="dxa" w:w="2551"/>
            <w:shd w:val="clear" w:color="auto" w:fill="FFFFFF"/>
            <w:vAlign w:val="center"/>
          </w:tcPr>
          <w:p>
            <w:r>
              <w:rPr>
                <w:sz w:val="20"/>
              </w:rPr>
              <w:t>Choose a more mature SKU</w:t>
            </w:r>
          </w:p>
        </w:tc>
      </w:tr>
      <w:tr>
        <w:tc>
          <w:tcPr>
            <w:tcW w:type="dxa" w:w="1134"/>
            <w:shd w:val="clear" w:color="auto" w:fill="F2F2F2"/>
            <w:vAlign w:val="center"/>
          </w:tcPr>
          <w:p>
            <w:r>
              <w:rPr>
                <w:b/>
                <w:color w:val="1F3964"/>
                <w:sz w:val="20"/>
              </w:rPr>
              <w:t>C01</w:t>
            </w:r>
          </w:p>
        </w:tc>
        <w:tc>
          <w:tcPr>
            <w:tcW w:type="dxa" w:w="1417"/>
            <w:shd w:val="clear" w:color="auto" w:fill="F2F2F2"/>
            <w:vAlign w:val="center"/>
          </w:tcPr>
          <w:p>
            <w:r>
              <w:rPr>
                <w:sz w:val="20"/>
              </w:rPr>
              <w:t>Coverage</w:t>
            </w:r>
          </w:p>
        </w:tc>
        <w:tc>
          <w:tcPr>
            <w:tcW w:type="dxa" w:w="3118"/>
            <w:shd w:val="clear" w:color="auto" w:fill="F2F2F2"/>
            <w:vAlign w:val="center"/>
          </w:tcPr>
          <w:p>
            <w:r>
              <w:rPr>
                <w:sz w:val="20"/>
              </w:rPr>
              <w:t>Tier 1 retailer with &lt; 4 promos in quarter</w:t>
            </w:r>
          </w:p>
        </w:tc>
        <w:tc>
          <w:tcPr>
            <w:tcW w:type="dxa" w:w="2551"/>
            <w:shd w:val="clear" w:color="auto" w:fill="F2F2F2"/>
            <w:vAlign w:val="center"/>
          </w:tcPr>
          <w:p>
            <w:r>
              <w:rPr>
                <w:sz w:val="20"/>
              </w:rPr>
              <w:t>Add events at that retailer</w:t>
            </w:r>
          </w:p>
        </w:tc>
      </w:tr>
      <w:tr>
        <w:tc>
          <w:tcPr>
            <w:tcW w:type="dxa" w:w="1134"/>
            <w:shd w:val="clear" w:color="auto" w:fill="FFFFFF"/>
            <w:vAlign w:val="center"/>
          </w:tcPr>
          <w:p>
            <w:r>
              <w:rPr>
                <w:b/>
                <w:color w:val="1F3964"/>
                <w:sz w:val="20"/>
              </w:rPr>
              <w:t>C02</w:t>
            </w:r>
          </w:p>
        </w:tc>
        <w:tc>
          <w:tcPr>
            <w:tcW w:type="dxa" w:w="1417"/>
            <w:shd w:val="clear" w:color="auto" w:fill="FFFFFF"/>
            <w:vAlign w:val="center"/>
          </w:tcPr>
          <w:p>
            <w:r>
              <w:rPr>
                <w:sz w:val="20"/>
              </w:rPr>
              <w:t>Coverage</w:t>
            </w:r>
          </w:p>
        </w:tc>
        <w:tc>
          <w:tcPr>
            <w:tcW w:type="dxa" w:w="3118"/>
            <w:shd w:val="clear" w:color="auto" w:fill="FFFFFF"/>
            <w:vAlign w:val="center"/>
          </w:tcPr>
          <w:p>
            <w:r>
              <w:rPr>
                <w:sz w:val="20"/>
              </w:rPr>
              <w:t>Festival week with &lt; 6 unique SKUs on promo</w:t>
            </w:r>
          </w:p>
        </w:tc>
        <w:tc>
          <w:tcPr>
            <w:tcW w:type="dxa" w:w="2551"/>
            <w:shd w:val="clear" w:color="auto" w:fill="FFFFFF"/>
            <w:vAlign w:val="center"/>
          </w:tcPr>
          <w:p>
            <w:r>
              <w:rPr>
                <w:sz w:val="20"/>
              </w:rPr>
              <w:t>Add SKUs during festival week</w:t>
            </w:r>
          </w:p>
        </w:tc>
      </w:tr>
      <w:tr>
        <w:tc>
          <w:tcPr>
            <w:tcW w:type="dxa" w:w="1134"/>
            <w:shd w:val="clear" w:color="auto" w:fill="F2F2F2"/>
            <w:vAlign w:val="center"/>
          </w:tcPr>
          <w:p>
            <w:r>
              <w:rPr>
                <w:b/>
                <w:color w:val="1F3964"/>
                <w:sz w:val="20"/>
              </w:rPr>
              <w:t>C03</w:t>
            </w:r>
          </w:p>
        </w:tc>
        <w:tc>
          <w:tcPr>
            <w:tcW w:type="dxa" w:w="1417"/>
            <w:shd w:val="clear" w:color="auto" w:fill="F2F2F2"/>
            <w:vAlign w:val="center"/>
          </w:tcPr>
          <w:p>
            <w:r>
              <w:rPr>
                <w:sz w:val="20"/>
              </w:rPr>
              <w:t>Coverage</w:t>
            </w:r>
          </w:p>
        </w:tc>
        <w:tc>
          <w:tcPr>
            <w:tcW w:type="dxa" w:w="3118"/>
            <w:shd w:val="clear" w:color="auto" w:fill="F2F2F2"/>
            <w:vAlign w:val="center"/>
          </w:tcPr>
          <w:p>
            <w:r>
              <w:rPr>
                <w:sz w:val="20"/>
              </w:rPr>
              <w:t>SKU at retailer on promo &gt; 10 of any 13 weeks</w:t>
            </w:r>
          </w:p>
        </w:tc>
        <w:tc>
          <w:tcPr>
            <w:tcW w:type="dxa" w:w="2551"/>
            <w:shd w:val="clear" w:color="auto" w:fill="F2F2F2"/>
            <w:vAlign w:val="center"/>
          </w:tcPr>
          <w:p>
            <w:r>
              <w:rPr>
                <w:sz w:val="20"/>
              </w:rPr>
              <w:t>Shorten or remove event</w:t>
            </w:r>
          </w:p>
        </w:tc>
      </w:tr>
      <w:tr>
        <w:tc>
          <w:tcPr>
            <w:tcW w:type="dxa" w:w="1134"/>
            <w:shd w:val="clear" w:color="auto" w:fill="FFFFFF"/>
            <w:vAlign w:val="center"/>
          </w:tcPr>
          <w:p>
            <w:r>
              <w:rPr>
                <w:b/>
                <w:color w:val="1F3964"/>
                <w:sz w:val="20"/>
              </w:rPr>
              <w:t>X01</w:t>
            </w:r>
          </w:p>
        </w:tc>
        <w:tc>
          <w:tcPr>
            <w:tcW w:type="dxa" w:w="1417"/>
            <w:shd w:val="clear" w:color="auto" w:fill="FFFFFF"/>
            <w:vAlign w:val="center"/>
          </w:tcPr>
          <w:p>
            <w:r>
              <w:rPr>
                <w:sz w:val="20"/>
              </w:rPr>
              <w:t>Cannibalism</w:t>
            </w:r>
          </w:p>
        </w:tc>
        <w:tc>
          <w:tcPr>
            <w:tcW w:type="dxa" w:w="3118"/>
            <w:shd w:val="clear" w:color="auto" w:fill="FFFFFF"/>
            <w:vAlign w:val="center"/>
          </w:tcPr>
          <w:p>
            <w:r>
              <w:rPr>
                <w:sz w:val="20"/>
              </w:rPr>
              <w:t>Simultaneous promos with cross_elasticity &gt; 0.20</w:t>
            </w:r>
          </w:p>
        </w:tc>
        <w:tc>
          <w:tcPr>
            <w:tcW w:type="dxa" w:w="2551"/>
            <w:shd w:val="clear" w:color="auto" w:fill="FFFFFF"/>
            <w:vAlign w:val="center"/>
          </w:tcPr>
          <w:p>
            <w:r>
              <w:rPr>
                <w:sz w:val="20"/>
              </w:rPr>
              <w:t>Schedule in different weeks or swap SKU</w:t>
            </w:r>
          </w:p>
        </w:tc>
      </w:tr>
      <w:tr>
        <w:tc>
          <w:tcPr>
            <w:tcW w:type="dxa" w:w="1134"/>
            <w:shd w:val="clear" w:color="auto" w:fill="F2F2F2"/>
            <w:vAlign w:val="center"/>
          </w:tcPr>
          <w:p>
            <w:r>
              <w:rPr>
                <w:b/>
                <w:color w:val="1F3964"/>
                <w:sz w:val="20"/>
              </w:rPr>
              <w:t>R01</w:t>
            </w:r>
          </w:p>
        </w:tc>
        <w:tc>
          <w:tcPr>
            <w:tcW w:type="dxa" w:w="1417"/>
            <w:shd w:val="clear" w:color="auto" w:fill="F2F2F2"/>
            <w:vAlign w:val="center"/>
          </w:tcPr>
          <w:p>
            <w:r>
              <w:rPr>
                <w:sz w:val="20"/>
              </w:rPr>
              <w:t>Compliance</w:t>
            </w:r>
          </w:p>
        </w:tc>
        <w:tc>
          <w:tcPr>
            <w:tcW w:type="dxa" w:w="3118"/>
            <w:shd w:val="clear" w:color="auto" w:fill="F2F2F2"/>
            <w:vAlign w:val="center"/>
          </w:tcPr>
          <w:p>
            <w:r>
              <w:rPr>
                <w:sz w:val="20"/>
              </w:rPr>
              <w:t>Regional compliance flag</w:t>
            </w:r>
          </w:p>
        </w:tc>
        <w:tc>
          <w:tcPr>
            <w:tcW w:type="dxa" w:w="2551"/>
            <w:shd w:val="clear" w:color="auto" w:fill="F2F2F2"/>
            <w:vAlign w:val="center"/>
          </w:tcPr>
          <w:p>
            <w:r>
              <w:rPr>
                <w:sz w:val="20"/>
              </w:rPr>
              <w:t>Review regional guidelines</w:t>
            </w:r>
          </w:p>
        </w:tc>
      </w:tr>
      <w:tr>
        <w:tc>
          <w:tcPr>
            <w:tcW w:type="dxa" w:w="1134"/>
            <w:shd w:val="clear" w:color="auto" w:fill="FFFFFF"/>
            <w:vAlign w:val="center"/>
          </w:tcPr>
          <w:p>
            <w:r>
              <w:rPr>
                <w:b/>
                <w:color w:val="1F3964"/>
                <w:sz w:val="20"/>
              </w:rPr>
              <w:t>R02</w:t>
            </w:r>
          </w:p>
        </w:tc>
        <w:tc>
          <w:tcPr>
            <w:tcW w:type="dxa" w:w="1417"/>
            <w:shd w:val="clear" w:color="auto" w:fill="FFFFFF"/>
            <w:vAlign w:val="center"/>
          </w:tcPr>
          <w:p>
            <w:r>
              <w:rPr>
                <w:sz w:val="20"/>
              </w:rPr>
              <w:t>Compliance</w:t>
            </w:r>
          </w:p>
        </w:tc>
        <w:tc>
          <w:tcPr>
            <w:tcW w:type="dxa" w:w="3118"/>
            <w:shd w:val="clear" w:color="auto" w:fill="FFFFFF"/>
            <w:vAlign w:val="center"/>
          </w:tcPr>
          <w:p>
            <w:r>
              <w:rPr>
                <w:sz w:val="20"/>
              </w:rPr>
              <w:t>Channel compliance flag</w:t>
            </w:r>
          </w:p>
        </w:tc>
        <w:tc>
          <w:tcPr>
            <w:tcW w:type="dxa" w:w="2551"/>
            <w:shd w:val="clear" w:color="auto" w:fill="FFFFFF"/>
            <w:vAlign w:val="center"/>
          </w:tcPr>
          <w:p>
            <w:r>
              <w:rPr>
                <w:sz w:val="20"/>
              </w:rPr>
              <w:t>Review channel guidelines</w:t>
            </w:r>
          </w:p>
        </w:tc>
      </w:tr>
    </w:tbl>
    <w:p>
      <w:pPr>
        <w:spacing w:after="120"/>
      </w:pPr>
    </w:p>
    <w:p>
      <w:pPr>
        <w:keepNext/>
        <w:spacing w:before="360" w:after="120"/>
        <w:pBdr>
          <w:bottom w:val="single" w:sz="6" w:space="1" w:color="2E75B6"/>
        </w:pBdr>
      </w:pPr>
      <w:r>
        <w:rPr>
          <w:b/>
          <w:color w:val="1F3964"/>
          <w:sz w:val="32"/>
        </w:rPr>
        <w:t>7.  Application Screens</w:t>
      </w:r>
    </w:p>
    <w:p>
      <w:pPr>
        <w:keepNext/>
        <w:spacing w:before="240" w:after="80"/>
      </w:pPr>
      <w:r>
        <w:rPr>
          <w:b/>
          <w:color w:val="2E75B6"/>
          <w:sz w:val="26"/>
        </w:rPr>
        <w:t>7.1  Plan Builder (Tab 1)</w:t>
      </w:r>
    </w:p>
    <w:p>
      <w:pPr>
        <w:pStyle w:val="ListBullet"/>
        <w:spacing w:after="60"/>
        <w:ind w:left="283"/>
      </w:pPr>
      <w:r>
        <w:rPr>
          <w:sz w:val="22"/>
        </w:rPr>
        <w:t>Chat interface — type natural language requests to Claude</w:t>
      </w:r>
    </w:p>
    <w:p>
      <w:pPr>
        <w:pStyle w:val="ListBullet"/>
        <w:spacing w:after="60"/>
        <w:ind w:left="283"/>
      </w:pPr>
      <w:r>
        <w:rPr>
          <w:sz w:val="22"/>
        </w:rPr>
        <w:t>Tool trace panel shows each tool call, input, output summary, and duration</w:t>
      </w:r>
    </w:p>
    <w:p>
      <w:pPr>
        <w:pStyle w:val="ListBullet"/>
        <w:spacing w:after="60"/>
        <w:ind w:left="283"/>
      </w:pPr>
      <w:r>
        <w:rPr>
          <w:sz w:val="22"/>
        </w:rPr>
        <w:t>Saved scenarios are displayed in a quick-view sidebar panel</w:t>
      </w:r>
    </w:p>
    <w:p>
      <w:pPr>
        <w:pStyle w:val="ListBullet"/>
        <w:spacing w:after="60"/>
        <w:ind w:left="283"/>
      </w:pPr>
      <w:r>
        <w:rPr>
          <w:sz w:val="22"/>
        </w:rPr>
        <w:t>Recommended prompt format:  'Plan [quarter] promotions for [brand] within ₹[X]M budget'</w:t>
      </w:r>
    </w:p>
    <w:p>
      <w:pPr>
        <w:keepNext/>
        <w:spacing w:before="240" w:after="80"/>
      </w:pPr>
      <w:r>
        <w:rPr>
          <w:b/>
          <w:color w:val="2E75B6"/>
          <w:sz w:val="26"/>
        </w:rPr>
        <w:t>7.2  Scenario Compare (Tab 2)</w:t>
      </w:r>
    </w:p>
    <w:p>
      <w:pPr>
        <w:pStyle w:val="ListBullet"/>
        <w:spacing w:after="60"/>
        <w:ind w:left="283"/>
      </w:pPr>
      <w:r>
        <w:rPr>
          <w:sz w:val="22"/>
        </w:rPr>
        <w:t>Multi-select up to 4 saved scenarios</w:t>
      </w:r>
    </w:p>
    <w:p>
      <w:pPr>
        <w:pStyle w:val="ListBullet"/>
        <w:spacing w:after="60"/>
        <w:ind w:left="283"/>
      </w:pPr>
      <w:r>
        <w:rPr>
          <w:sz w:val="22"/>
        </w:rPr>
        <w:t>Metrics table: ROI, total spend, incremental revenue, incremental GP, compliance status</w:t>
      </w:r>
    </w:p>
    <w:p>
      <w:pPr>
        <w:pStyle w:val="ListBullet"/>
        <w:spacing w:after="60"/>
        <w:ind w:left="283"/>
      </w:pPr>
      <w:r>
        <w:rPr>
          <w:sz w:val="22"/>
        </w:rPr>
        <w:t>ROI bar chart and spend vs. GP waterfall chart</w:t>
      </w:r>
    </w:p>
    <w:p>
      <w:pPr>
        <w:pStyle w:val="ListBullet"/>
        <w:spacing w:after="60"/>
        <w:ind w:left="283"/>
      </w:pPr>
      <w:r>
        <w:rPr>
          <w:sz w:val="22"/>
        </w:rPr>
        <w:t>Per-rule compliance grid and per-event breakdown table</w:t>
      </w:r>
    </w:p>
    <w:p>
      <w:pPr>
        <w:keepNext/>
        <w:spacing w:before="240" w:after="80"/>
      </w:pPr>
      <w:r>
        <w:rPr>
          <w:b/>
          <w:color w:val="2E75B6"/>
          <w:sz w:val="26"/>
        </w:rPr>
        <w:t>7.3  Rationale Inspector (Tab 3)</w:t>
      </w:r>
    </w:p>
    <w:p>
      <w:pPr>
        <w:pStyle w:val="ListBullet"/>
        <w:spacing w:after="60"/>
        <w:ind w:left="283"/>
      </w:pPr>
      <w:r>
        <w:rPr>
          <w:sz w:val="22"/>
        </w:rPr>
        <w:t>Select scenario → select event → full audit trail rendered</w:t>
      </w:r>
    </w:p>
    <w:p>
      <w:pPr>
        <w:pStyle w:val="ListBullet"/>
        <w:spacing w:after="60"/>
        <w:ind w:left="283"/>
      </w:pPr>
      <w:r>
        <w:rPr>
          <w:sz w:val="22"/>
        </w:rPr>
        <w:t>Sections: baseline forecast, lift multiplier breakdown, cannibalization deductions, ROI math, rules pass/fail</w:t>
      </w:r>
    </w:p>
    <w:p>
      <w:pPr>
        <w:pStyle w:val="ListBullet"/>
        <w:spacing w:after="60"/>
        <w:ind w:left="283"/>
      </w:pPr>
      <w:r>
        <w:rPr>
          <w:sz w:val="22"/>
        </w:rPr>
        <w:t>ROI waterfall chart for the selected event</w:t>
      </w:r>
    </w:p>
    <w:p>
      <w:pPr>
        <w:keepNext/>
        <w:spacing w:before="360" w:after="120"/>
        <w:pBdr>
          <w:bottom w:val="single" w:sz="6" w:space="1" w:color="2E75B6"/>
        </w:pBdr>
      </w:pPr>
      <w:r>
        <w:rPr>
          <w:b/>
          <w:color w:val="1F3964"/>
          <w:sz w:val="32"/>
        </w:rPr>
        <w:t>8.  Typical End-to-End Workflow</w:t>
      </w:r>
    </w:p>
    <w:p>
      <w:pPr>
        <w:pStyle w:val="ListNumber"/>
        <w:spacing w:after="60"/>
        <w:ind w:left="283"/>
      </w:pPr>
      <w:r>
        <w:rPr>
          <w:sz w:val="22"/>
        </w:rPr>
        <w:t>Launch app and enter API key in sidebar.</w:t>
      </w:r>
    </w:p>
    <w:p>
      <w:pPr>
        <w:pStyle w:val="ListNumber"/>
        <w:spacing w:after="60"/>
        <w:ind w:left="283"/>
      </w:pPr>
      <w:r>
        <w:rPr>
          <w:sz w:val="22"/>
        </w:rPr>
        <w:t>Go to Plan Builder. Type your planning brief (brand, quarter, budget, any constraints).</w:t>
      </w:r>
    </w:p>
    <w:p>
      <w:pPr>
        <w:pStyle w:val="ListNumber"/>
        <w:spacing w:after="60"/>
        <w:ind w:left="283"/>
      </w:pPr>
      <w:r>
        <w:rPr>
          <w:sz w:val="22"/>
        </w:rPr>
        <w:t>Review AI-generated plan summary: ROI, spend, and compliance status.</w:t>
      </w:r>
    </w:p>
    <w:p>
      <w:pPr>
        <w:pStyle w:val="ListNumber"/>
        <w:spacing w:after="60"/>
        <w:ind w:left="283"/>
      </w:pPr>
      <w:r>
        <w:rPr>
          <w:sz w:val="22"/>
        </w:rPr>
        <w:t>If violations are flagged, instruct the AI to fix them in natural language.</w:t>
      </w:r>
    </w:p>
    <w:p>
      <w:pPr>
        <w:pStyle w:val="ListNumber"/>
        <w:spacing w:after="60"/>
        <w:ind w:left="283"/>
      </w:pPr>
      <w:r>
        <w:rPr>
          <w:sz w:val="22"/>
        </w:rPr>
        <w:t>Save compliant plan as Scenario-001.</w:t>
      </w:r>
    </w:p>
    <w:p>
      <w:pPr>
        <w:pStyle w:val="ListNumber"/>
        <w:spacing w:after="60"/>
        <w:ind w:left="283"/>
      </w:pPr>
      <w:r>
        <w:rPr>
          <w:sz w:val="22"/>
        </w:rPr>
        <w:t>Request an alternative plan (different mechanics, budget split, or SKU selection).</w:t>
      </w:r>
    </w:p>
    <w:p>
      <w:pPr>
        <w:pStyle w:val="ListNumber"/>
        <w:spacing w:after="60"/>
        <w:ind w:left="283"/>
      </w:pPr>
      <w:r>
        <w:rPr>
          <w:sz w:val="22"/>
        </w:rPr>
        <w:t>Save as Scenario-002.</w:t>
      </w:r>
    </w:p>
    <w:p>
      <w:pPr>
        <w:pStyle w:val="ListNumber"/>
        <w:spacing w:after="60"/>
        <w:ind w:left="283"/>
      </w:pPr>
      <w:r>
        <w:rPr>
          <w:sz w:val="22"/>
        </w:rPr>
        <w:t>Switch to Scenario Compare tab. Select both scenarios. Identify the better performer.</w:t>
      </w:r>
    </w:p>
    <w:p>
      <w:pPr>
        <w:pStyle w:val="ListNumber"/>
        <w:spacing w:after="60"/>
        <w:ind w:left="283"/>
      </w:pPr>
      <w:r>
        <w:rPr>
          <w:sz w:val="22"/>
        </w:rPr>
        <w:t>Switch to Rationale Inspector. Audit the highest-spend event for any selected scenario.</w:t>
      </w:r>
    </w:p>
    <w:p>
      <w:pPr>
        <w:pStyle w:val="ListNumber"/>
        <w:spacing w:after="60"/>
        <w:ind w:left="283"/>
      </w:pPr>
      <w:r>
        <w:rPr>
          <w:sz w:val="22"/>
        </w:rPr>
        <w:t>Export plan summary for internal review or submission.</w:t>
      </w:r>
    </w:p>
    <w:p>
      <w:pPr>
        <w:keepNext/>
        <w:spacing w:before="360" w:after="120"/>
        <w:pBdr>
          <w:bottom w:val="single" w:sz="6" w:space="1" w:color="2E75B6"/>
        </w:pBdr>
      </w:pPr>
      <w:r>
        <w:rPr>
          <w:b/>
          <w:color w:val="1F3964"/>
          <w:sz w:val="32"/>
        </w:rPr>
        <w:t>9.  Quick Reference — Which File Drives What</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3964"/>
            <w:vAlign w:val="center"/>
          </w:tcPr>
          <w:p>
            <w:pPr>
              <w:jc w:val="center"/>
            </w:pPr>
            <w:r>
              <w:rPr>
                <w:b/>
                <w:color w:val="FFFFFF"/>
                <w:sz w:val="20"/>
              </w:rPr>
              <w:t>Business Action</w:t>
            </w:r>
          </w:p>
        </w:tc>
        <w:tc>
          <w:tcPr>
            <w:tcW w:type="dxa" w:w="2551"/>
            <w:shd w:val="clear" w:color="auto" w:fill="1F3964"/>
            <w:vAlign w:val="center"/>
          </w:tcPr>
          <w:p>
            <w:pPr>
              <w:jc w:val="center"/>
            </w:pPr>
            <w:r>
              <w:rPr>
                <w:b/>
                <w:color w:val="FFFFFF"/>
                <w:sz w:val="20"/>
              </w:rPr>
              <w:t>File to Update</w:t>
            </w:r>
          </w:p>
        </w:tc>
        <w:tc>
          <w:tcPr>
            <w:tcW w:type="dxa" w:w="2835"/>
            <w:shd w:val="clear" w:color="auto" w:fill="1F3964"/>
            <w:vAlign w:val="center"/>
          </w:tcPr>
          <w:p>
            <w:pPr>
              <w:jc w:val="center"/>
            </w:pPr>
            <w:r>
              <w:rPr>
                <w:b/>
                <w:color w:val="FFFFFF"/>
                <w:sz w:val="20"/>
              </w:rPr>
              <w:t>Key Column</w:t>
            </w:r>
          </w:p>
        </w:tc>
      </w:tr>
      <w:tr>
        <w:tc>
          <w:tcPr>
            <w:tcW w:type="dxa" w:w="2835"/>
            <w:shd w:val="clear" w:color="auto" w:fill="F2F2F2"/>
            <w:vAlign w:val="center"/>
          </w:tcPr>
          <w:p>
            <w:r>
              <w:rPr>
                <w:b/>
                <w:color w:val="1F3964"/>
                <w:sz w:val="20"/>
              </w:rPr>
              <w:t>Add a new product</w:t>
            </w:r>
          </w:p>
        </w:tc>
        <w:tc>
          <w:tcPr>
            <w:tcW w:type="dxa" w:w="2551"/>
            <w:shd w:val="clear" w:color="auto" w:fill="F2F2F2"/>
            <w:vAlign w:val="center"/>
          </w:tcPr>
          <w:p>
            <w:r>
              <w:rPr>
                <w:sz w:val="20"/>
              </w:rPr>
              <w:t>sku_master.csv</w:t>
            </w:r>
          </w:p>
        </w:tc>
        <w:tc>
          <w:tcPr>
            <w:tcW w:type="dxa" w:w="2835"/>
            <w:shd w:val="clear" w:color="auto" w:fill="F2F2F2"/>
            <w:vAlign w:val="center"/>
          </w:tcPr>
          <w:p>
            <w:r>
              <w:rPr>
                <w:sz w:val="20"/>
              </w:rPr>
              <w:t>sku_id, list_price, cogs_per_unit, launch_date</w:t>
            </w:r>
          </w:p>
        </w:tc>
      </w:tr>
      <w:tr>
        <w:tc>
          <w:tcPr>
            <w:tcW w:type="dxa" w:w="2835"/>
            <w:shd w:val="clear" w:color="auto" w:fill="FFFFFF"/>
            <w:vAlign w:val="center"/>
          </w:tcPr>
          <w:p>
            <w:r>
              <w:rPr>
                <w:b/>
                <w:color w:val="1F3964"/>
                <w:sz w:val="20"/>
              </w:rPr>
              <w:t>Add a new retailer</w:t>
            </w:r>
          </w:p>
        </w:tc>
        <w:tc>
          <w:tcPr>
            <w:tcW w:type="dxa" w:w="2551"/>
            <w:shd w:val="clear" w:color="auto" w:fill="FFFFFF"/>
            <w:vAlign w:val="center"/>
          </w:tcPr>
          <w:p>
            <w:r>
              <w:rPr>
                <w:sz w:val="20"/>
              </w:rPr>
              <w:t>retailer_master.csv</w:t>
            </w:r>
          </w:p>
        </w:tc>
        <w:tc>
          <w:tcPr>
            <w:tcW w:type="dxa" w:w="2835"/>
            <w:shd w:val="clear" w:color="auto" w:fill="FFFFFF"/>
            <w:vAlign w:val="center"/>
          </w:tcPr>
          <w:p>
            <w:r>
              <w:rPr>
                <w:sz w:val="20"/>
              </w:rPr>
              <w:t>retailer_id, tier, coop_funding_pct</w:t>
            </w:r>
          </w:p>
        </w:tc>
      </w:tr>
      <w:tr>
        <w:tc>
          <w:tcPr>
            <w:tcW w:type="dxa" w:w="2835"/>
            <w:shd w:val="clear" w:color="auto" w:fill="F2F2F2"/>
            <w:vAlign w:val="center"/>
          </w:tcPr>
          <w:p>
            <w:r>
              <w:rPr>
                <w:b/>
                <w:color w:val="1F3964"/>
                <w:sz w:val="20"/>
              </w:rPr>
              <w:t>Change a product's price or margin</w:t>
            </w:r>
          </w:p>
        </w:tc>
        <w:tc>
          <w:tcPr>
            <w:tcW w:type="dxa" w:w="2551"/>
            <w:shd w:val="clear" w:color="auto" w:fill="F2F2F2"/>
            <w:vAlign w:val="center"/>
          </w:tcPr>
          <w:p>
            <w:r>
              <w:rPr>
                <w:sz w:val="20"/>
              </w:rPr>
              <w:t>sku_master.csv</w:t>
            </w:r>
          </w:p>
        </w:tc>
        <w:tc>
          <w:tcPr>
            <w:tcW w:type="dxa" w:w="2835"/>
            <w:shd w:val="clear" w:color="auto" w:fill="F2F2F2"/>
            <w:vAlign w:val="center"/>
          </w:tcPr>
          <w:p>
            <w:r>
              <w:rPr>
                <w:sz w:val="20"/>
              </w:rPr>
              <w:t>list_price, cogs_per_unit, gross_margin_pct</w:t>
            </w:r>
          </w:p>
        </w:tc>
      </w:tr>
      <w:tr>
        <w:tc>
          <w:tcPr>
            <w:tcW w:type="dxa" w:w="2835"/>
            <w:shd w:val="clear" w:color="auto" w:fill="FFFFFF"/>
            <w:vAlign w:val="center"/>
          </w:tcPr>
          <w:p>
            <w:r>
              <w:rPr>
                <w:b/>
                <w:color w:val="1F3964"/>
                <w:sz w:val="20"/>
              </w:rPr>
              <w:t>Change retailer co-funding share</w:t>
            </w:r>
          </w:p>
        </w:tc>
        <w:tc>
          <w:tcPr>
            <w:tcW w:type="dxa" w:w="2551"/>
            <w:shd w:val="clear" w:color="auto" w:fill="FFFFFF"/>
            <w:vAlign w:val="center"/>
          </w:tcPr>
          <w:p>
            <w:r>
              <w:rPr>
                <w:sz w:val="20"/>
              </w:rPr>
              <w:t>retailer_master.csv</w:t>
            </w:r>
          </w:p>
        </w:tc>
        <w:tc>
          <w:tcPr>
            <w:tcW w:type="dxa" w:w="2835"/>
            <w:shd w:val="clear" w:color="auto" w:fill="FFFFFF"/>
            <w:vAlign w:val="center"/>
          </w:tcPr>
          <w:p>
            <w:r>
              <w:rPr>
                <w:sz w:val="20"/>
              </w:rPr>
              <w:t>coop_funding_pct</w:t>
            </w:r>
          </w:p>
        </w:tc>
      </w:tr>
      <w:tr>
        <w:tc>
          <w:tcPr>
            <w:tcW w:type="dxa" w:w="2835"/>
            <w:shd w:val="clear" w:color="auto" w:fill="F2F2F2"/>
            <w:vAlign w:val="center"/>
          </w:tcPr>
          <w:p>
            <w:r>
              <w:rPr>
                <w:b/>
                <w:color w:val="1F3964"/>
                <w:sz w:val="20"/>
              </w:rPr>
              <w:t>Adjust seasonal lift multipliers</w:t>
            </w:r>
          </w:p>
        </w:tc>
        <w:tc>
          <w:tcPr>
            <w:tcW w:type="dxa" w:w="2551"/>
            <w:shd w:val="clear" w:color="auto" w:fill="F2F2F2"/>
            <w:vAlign w:val="center"/>
          </w:tcPr>
          <w:p>
            <w:r>
              <w:rPr>
                <w:sz w:val="20"/>
              </w:rPr>
              <w:t>calendar.csv</w:t>
            </w:r>
          </w:p>
        </w:tc>
        <w:tc>
          <w:tcPr>
            <w:tcW w:type="dxa" w:w="2835"/>
            <w:shd w:val="clear" w:color="auto" w:fill="F2F2F2"/>
            <w:vAlign w:val="center"/>
          </w:tcPr>
          <w:p>
            <w:r>
              <w:rPr>
                <w:sz w:val="20"/>
              </w:rPr>
              <w:t>season, festival_flag</w:t>
            </w:r>
          </w:p>
        </w:tc>
      </w:tr>
      <w:tr>
        <w:tc>
          <w:tcPr>
            <w:tcW w:type="dxa" w:w="2835"/>
            <w:shd w:val="clear" w:color="auto" w:fill="FFFFFF"/>
            <w:vAlign w:val="center"/>
          </w:tcPr>
          <w:p>
            <w:r>
              <w:rPr>
                <w:b/>
                <w:color w:val="1F3964"/>
                <w:sz w:val="20"/>
              </w:rPr>
              <w:t>Update historical sales baselines</w:t>
            </w:r>
          </w:p>
        </w:tc>
        <w:tc>
          <w:tcPr>
            <w:tcW w:type="dxa" w:w="2551"/>
            <w:shd w:val="clear" w:color="auto" w:fill="FFFFFF"/>
            <w:vAlign w:val="center"/>
          </w:tcPr>
          <w:p>
            <w:r>
              <w:rPr>
                <w:sz w:val="20"/>
              </w:rPr>
              <w:t>sales_history.csv</w:t>
            </w:r>
          </w:p>
        </w:tc>
        <w:tc>
          <w:tcPr>
            <w:tcW w:type="dxa" w:w="2835"/>
            <w:shd w:val="clear" w:color="auto" w:fill="FFFFFF"/>
            <w:vAlign w:val="center"/>
          </w:tcPr>
          <w:p>
            <w:r>
              <w:rPr>
                <w:sz w:val="20"/>
              </w:rPr>
              <w:t>units_sold, baseline_units, on_promo_flag</w:t>
            </w:r>
          </w:p>
        </w:tc>
      </w:tr>
      <w:tr>
        <w:tc>
          <w:tcPr>
            <w:tcW w:type="dxa" w:w="2835"/>
            <w:shd w:val="clear" w:color="auto" w:fill="F2F2F2"/>
            <w:vAlign w:val="center"/>
          </w:tcPr>
          <w:p>
            <w:r>
              <w:rPr>
                <w:b/>
                <w:color w:val="1F3964"/>
                <w:sz w:val="20"/>
              </w:rPr>
              <w:t>Record a past promotion (C03 window)</w:t>
            </w:r>
          </w:p>
        </w:tc>
        <w:tc>
          <w:tcPr>
            <w:tcW w:type="dxa" w:w="2551"/>
            <w:shd w:val="clear" w:color="auto" w:fill="F2F2F2"/>
            <w:vAlign w:val="center"/>
          </w:tcPr>
          <w:p>
            <w:r>
              <w:rPr>
                <w:sz w:val="20"/>
              </w:rPr>
              <w:t>promo_history.csv</w:t>
            </w:r>
          </w:p>
        </w:tc>
        <w:tc>
          <w:tcPr>
            <w:tcW w:type="dxa" w:w="2835"/>
            <w:shd w:val="clear" w:color="auto" w:fill="F2F2F2"/>
            <w:vAlign w:val="center"/>
          </w:tcPr>
          <w:p>
            <w:r>
              <w:rPr>
                <w:sz w:val="20"/>
              </w:rPr>
              <w:t>start_week, end_week, sku_id, retailer_id</w:t>
            </w:r>
          </w:p>
        </w:tc>
      </w:tr>
      <w:tr>
        <w:tc>
          <w:tcPr>
            <w:tcW w:type="dxa" w:w="2835"/>
            <w:shd w:val="clear" w:color="auto" w:fill="FFFFFF"/>
            <w:vAlign w:val="center"/>
          </w:tcPr>
          <w:p>
            <w:r>
              <w:rPr>
                <w:b/>
                <w:color w:val="1F3964"/>
                <w:sz w:val="20"/>
              </w:rPr>
              <w:t>Update cross-SKU cannibalization rates</w:t>
            </w:r>
          </w:p>
        </w:tc>
        <w:tc>
          <w:tcPr>
            <w:tcW w:type="dxa" w:w="2551"/>
            <w:shd w:val="clear" w:color="auto" w:fill="FFFFFF"/>
            <w:vAlign w:val="center"/>
          </w:tcPr>
          <w:p>
            <w:r>
              <w:rPr>
                <w:sz w:val="20"/>
              </w:rPr>
              <w:t>cannibalization_matrix.csv</w:t>
            </w:r>
          </w:p>
        </w:tc>
        <w:tc>
          <w:tcPr>
            <w:tcW w:type="dxa" w:w="2835"/>
            <w:shd w:val="clear" w:color="auto" w:fill="FFFFFF"/>
            <w:vAlign w:val="center"/>
          </w:tcPr>
          <w:p>
            <w:r>
              <w:rPr>
                <w:sz w:val="20"/>
              </w:rPr>
              <w:t>cross_elasticity</w:t>
            </w:r>
          </w:p>
        </w:tc>
      </w:tr>
      <w:tr>
        <w:tc>
          <w:tcPr>
            <w:tcW w:type="dxa" w:w="2835"/>
            <w:shd w:val="clear" w:color="auto" w:fill="F2F2F2"/>
            <w:vAlign w:val="center"/>
          </w:tcPr>
          <w:p>
            <w:r>
              <w:rPr>
                <w:b/>
                <w:color w:val="1F3964"/>
                <w:sz w:val="20"/>
              </w:rPr>
              <w:t>Record trade spend for reconciliation</w:t>
            </w:r>
          </w:p>
        </w:tc>
        <w:tc>
          <w:tcPr>
            <w:tcW w:type="dxa" w:w="2551"/>
            <w:shd w:val="clear" w:color="auto" w:fill="F2F2F2"/>
            <w:vAlign w:val="center"/>
          </w:tcPr>
          <w:p>
            <w:r>
              <w:rPr>
                <w:sz w:val="20"/>
              </w:rPr>
              <w:t>trade_spend_ledger.csv</w:t>
            </w:r>
          </w:p>
        </w:tc>
        <w:tc>
          <w:tcPr>
            <w:tcW w:type="dxa" w:w="2835"/>
            <w:shd w:val="clear" w:color="auto" w:fill="F2F2F2"/>
            <w:vAlign w:val="center"/>
          </w:tcPr>
          <w:p>
            <w:r>
              <w:rPr>
                <w:sz w:val="20"/>
              </w:rPr>
              <w:t>amount, promo_id, period</w:t>
            </w:r>
          </w:p>
        </w:tc>
      </w:tr>
    </w:tbl>
    <w:p>
      <w:pPr>
        <w:spacing w:after="12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