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Trade Promotion Business Rules</w:t>
      </w:r>
    </w:p>
    <w:p>
      <w:pPr>
        <w:pBdr>
          <w:bottom w:val="single" w:color="2E75B6" w:sz="6" w:space="4"/>
        </w:pBdr>
        <w:spacing w:after="240"/>
        <w:jc w:val="center"/>
      </w:pPr>
      <w:r>
        <w:rPr>
          <w:color w:val="595959"/>
          <w:sz w:val="20"/>
          <w:szCs w:val="20"/>
        </w:rPr>
        <w:t xml:space="preserve">Version 1.0  •  Effective Q1 FY26  •  Owner: RGM Centre of Excellence</w:t>
      </w:r>
    </w:p>
    <w:p>
      <w:pPr>
        <w:pStyle w:val="Heading1"/>
        <w:spacing w:after="120" w:before="240"/>
      </w:pPr>
      <w:r>
        <w:rPr>
          <w:b/>
          <w:bCs/>
        </w:rPr>
        <w:t xml:space="preserve">1. Purpose</w:t>
      </w:r>
    </w:p>
    <w:p>
      <w:pPr>
        <w:spacing w:after="100"/>
      </w:pPr>
      <w:r>
        <w:t xml:space="preserve">This document defines the operating guardrails that govern all trade promotion planning across the organisation. Every promo plan generated, recommended, or approved must comply with these rules. The rules are consumed by the Trade Promotion ROI Optimizer agent at runtime and are also used for periodic audit of approved plans.</w:t>
      </w:r>
    </w:p>
    <w:p>
      <w:pPr>
        <w:pStyle w:val="Heading1"/>
        <w:spacing w:after="120" w:before="240"/>
      </w:pPr>
      <w:r>
        <w:rPr>
          <w:b/>
          <w:bCs/>
        </w:rPr>
        <w:t xml:space="preserve">2. Scope and Authority</w:t>
      </w:r>
    </w:p>
    <w:p>
      <w:pPr>
        <w:spacing w:after="100"/>
      </w:pPr>
      <w:r>
        <w:t xml:space="preserve">These rules apply to all SKUs, retailers, and channels managed by the Revenue Growth Management function. Exceptions require written approval from the Head of RGM and must be logged against a specific rule ID. The Compliance Check module flags any candidate plan that violates one or more rules; flagged plans cannot be committed without an attached exception.</w:t>
      </w:r>
    </w:p>
    <w:p>
      <w:pPr>
        <w:pStyle w:val="Heading1"/>
        <w:spacing w:after="120" w:before="240"/>
      </w:pPr>
      <w:r>
        <w:rPr>
          <w:b/>
          <w:bCs/>
        </w:rPr>
        <w:t xml:space="preserve">3. Budget Rules</w:t>
      </w:r>
    </w:p>
    <w:p>
      <w:pPr>
        <w:spacing w:after="40" w:before="160"/>
      </w:pPr>
      <w:r>
        <w:rPr>
          <w:b/>
          <w:bCs/>
        </w:rPr>
        <w:t xml:space="preserve">RULE-B01  </w:t>
      </w:r>
      <w:r>
        <w:t xml:space="preserve">The quarterly trade promotion budget cap is INR 50,000,000. No candidate plan shall exceed this cap.</w:t>
      </w:r>
    </w:p>
    <w:p>
      <w:pPr>
        <w:spacing w:after="80"/>
        <w:ind w:left="360"/>
      </w:pPr>
      <w:r>
        <w:rPr>
          <w:i/>
          <w:iCs/>
          <w:color w:val="595959"/>
        </w:rPr>
        <w:t xml:space="preserve">Rationale: </w:t>
      </w:r>
      <w:r>
        <w:rPr>
          <w:i/>
          <w:iCs/>
          <w:color w:val="595959"/>
        </w:rPr>
        <w:t xml:space="preserve">Protects the annual trade spend envelope and prevents budget overruns.</w:t>
      </w:r>
    </w:p>
    <w:p>
      <w:pPr>
        <w:spacing w:after="40" w:before="160"/>
      </w:pPr>
      <w:r>
        <w:rPr>
          <w:b/>
          <w:bCs/>
        </w:rPr>
        <w:t xml:space="preserve">RULE-B02  </w:t>
      </w:r>
      <w:r>
        <w:t xml:space="preserve">Tier 1 retailers must receive between 35 percent and 55 percent of total trade spend in any quarter.</w:t>
      </w:r>
    </w:p>
    <w:p>
      <w:pPr>
        <w:spacing w:after="80"/>
        <w:ind w:left="360"/>
      </w:pPr>
      <w:r>
        <w:rPr>
          <w:i/>
          <w:iCs/>
          <w:color w:val="595959"/>
        </w:rPr>
        <w:t xml:space="preserve">Rationale: </w:t>
      </w:r>
      <w:r>
        <w:rPr>
          <w:i/>
          <w:iCs/>
          <w:color w:val="595959"/>
        </w:rPr>
        <w:t xml:space="preserve">Ensures balanced investment across strategic accounts without overconcentration.</w:t>
      </w:r>
    </w:p>
    <w:p>
      <w:pPr>
        <w:spacing w:after="40" w:before="160"/>
      </w:pPr>
      <w:r>
        <w:rPr>
          <w:b/>
          <w:bCs/>
        </w:rPr>
        <w:t xml:space="preserve">RULE-B03  </w:t>
      </w:r>
      <w:r>
        <w:t xml:space="preserve">No single SKU shall consume more than 12 percent of quarterly trade spend.</w:t>
      </w:r>
    </w:p>
    <w:p>
      <w:pPr>
        <w:spacing w:after="80"/>
        <w:ind w:left="360"/>
      </w:pPr>
      <w:r>
        <w:rPr>
          <w:i/>
          <w:iCs/>
          <w:color w:val="595959"/>
        </w:rPr>
        <w:t xml:space="preserve">Rationale: </w:t>
      </w:r>
      <w:r>
        <w:rPr>
          <w:i/>
          <w:iCs/>
          <w:color w:val="595959"/>
        </w:rPr>
        <w:t xml:space="preserve">Prevents over-investment in any single product line.</w:t>
      </w:r>
    </w:p>
    <w:p>
      <w:pPr>
        <w:pStyle w:val="Heading1"/>
        <w:spacing w:after="120" w:before="240"/>
      </w:pPr>
      <w:r>
        <w:rPr>
          <w:b/>
          <w:bCs/>
        </w:rPr>
        <w:t xml:space="preserve">4. Discount Depth Rules</w:t>
      </w:r>
    </w:p>
    <w:p>
      <w:pPr>
        <w:spacing w:after="40" w:before="160"/>
      </w:pPr>
      <w:r>
        <w:rPr>
          <w:b/>
          <w:bCs/>
        </w:rPr>
        <w:t xml:space="preserve">RULE-D01  </w:t>
      </w:r>
      <w:r>
        <w:t xml:space="preserve">Premium category SKUs, defined as SKUs with list price above INR 400, shall not be discounted by more than 15 percent.</w:t>
      </w:r>
    </w:p>
    <w:p>
      <w:pPr>
        <w:spacing w:after="80"/>
        <w:ind w:left="360"/>
      </w:pPr>
      <w:r>
        <w:rPr>
          <w:i/>
          <w:iCs/>
          <w:color w:val="595959"/>
        </w:rPr>
        <w:t xml:space="preserve">Rationale: </w:t>
      </w:r>
      <w:r>
        <w:rPr>
          <w:i/>
          <w:iCs/>
          <w:color w:val="595959"/>
        </w:rPr>
        <w:t xml:space="preserve">Protects premium brand equity and avoids margin erosion on flagship products.</w:t>
      </w:r>
    </w:p>
    <w:p>
      <w:pPr>
        <w:spacing w:after="40" w:before="160"/>
      </w:pPr>
      <w:r>
        <w:rPr>
          <w:b/>
          <w:bCs/>
        </w:rPr>
        <w:t xml:space="preserve">RULE-D02  </w:t>
      </w:r>
      <w:r>
        <w:t xml:space="preserve">The maximum allowed discount depth across all SKUs is 30 percent, regardless of mechanic.</w:t>
      </w:r>
    </w:p>
    <w:p>
      <w:pPr>
        <w:spacing w:after="80"/>
        <w:ind w:left="360"/>
      </w:pPr>
      <w:r>
        <w:rPr>
          <w:i/>
          <w:iCs/>
          <w:color w:val="595959"/>
        </w:rPr>
        <w:t xml:space="preserve">Rationale: </w:t>
      </w:r>
      <w:r>
        <w:rPr>
          <w:i/>
          <w:iCs/>
          <w:color w:val="595959"/>
        </w:rPr>
        <w:t xml:space="preserve">Discounts beyond this depth typically train consumers to wait for promos.</w:t>
      </w:r>
    </w:p>
    <w:p>
      <w:pPr>
        <w:spacing w:after="40" w:before="160"/>
      </w:pPr>
      <w:r>
        <w:rPr>
          <w:b/>
          <w:bCs/>
        </w:rPr>
        <w:t xml:space="preserve">RULE-D03  </w:t>
      </w:r>
      <w:r>
        <w:t xml:space="preserve">The minimum discount depth for any activity to qualify as a promotion is 5 percent.</w:t>
      </w:r>
    </w:p>
    <w:p>
      <w:pPr>
        <w:spacing w:after="80"/>
        <w:ind w:left="360"/>
      </w:pPr>
      <w:r>
        <w:rPr>
          <w:i/>
          <w:iCs/>
          <w:color w:val="595959"/>
        </w:rPr>
        <w:t xml:space="preserve">Rationale: </w:t>
      </w:r>
      <w:r>
        <w:rPr>
          <w:i/>
          <w:iCs/>
          <w:color w:val="595959"/>
        </w:rPr>
        <w:t xml:space="preserve">Shallower discounts rarely produce measurable lift and represent inefficient spend.</w:t>
      </w:r>
    </w:p>
    <w:p>
      <w:pPr>
        <w:pStyle w:val="Heading1"/>
        <w:spacing w:after="120" w:before="240"/>
      </w:pPr>
      <w:r>
        <w:rPr>
          <w:b/>
          <w:bCs/>
        </w:rPr>
        <w:t xml:space="preserve">5. Mechanic Eligibility Rules</w:t>
      </w:r>
    </w:p>
    <w:p>
      <w:pPr>
        <w:spacing w:after="40" w:before="160"/>
      </w:pPr>
      <w:r>
        <w:rPr>
          <w:b/>
          <w:bCs/>
        </w:rPr>
        <w:t xml:space="preserve">RULE-M01  </w:t>
      </w:r>
      <w:r>
        <w:t xml:space="preserve">The BOGO mechanic is restricted to SKUs with gross margin above 40 percent.</w:t>
      </w:r>
    </w:p>
    <w:p>
      <w:pPr>
        <w:spacing w:after="80"/>
        <w:ind w:left="360"/>
      </w:pPr>
      <w:r>
        <w:rPr>
          <w:i/>
          <w:iCs/>
          <w:color w:val="595959"/>
        </w:rPr>
        <w:t xml:space="preserve">Rationale: </w:t>
      </w:r>
      <w:r>
        <w:rPr>
          <w:i/>
          <w:iCs/>
          <w:color w:val="595959"/>
        </w:rPr>
        <w:t xml:space="preserve">BOGO economics only work when product margin can absorb a one-for-one giveaway.</w:t>
      </w:r>
    </w:p>
    <w:p>
      <w:pPr>
        <w:spacing w:after="40" w:before="160"/>
      </w:pPr>
      <w:r>
        <w:rPr>
          <w:b/>
          <w:bCs/>
        </w:rPr>
        <w:t xml:space="preserve">RULE-M02  </w:t>
      </w:r>
      <w:r>
        <w:t xml:space="preserve">The Combo mechanic must include at least two SKUs from different subcategories.</w:t>
      </w:r>
    </w:p>
    <w:p>
      <w:pPr>
        <w:spacing w:after="80"/>
        <w:ind w:left="360"/>
      </w:pPr>
      <w:r>
        <w:rPr>
          <w:i/>
          <w:iCs/>
          <w:color w:val="595959"/>
        </w:rPr>
        <w:t xml:space="preserve">Rationale: </w:t>
      </w:r>
      <w:r>
        <w:rPr>
          <w:i/>
          <w:iCs/>
          <w:color w:val="595959"/>
        </w:rPr>
        <w:t xml:space="preserve">Combos exist to introduce consumers to adjacent products, not to bundle within the same subcategory.</w:t>
      </w:r>
    </w:p>
    <w:p>
      <w:pPr>
        <w:spacing w:after="40" w:before="160"/>
      </w:pPr>
      <w:r>
        <w:rPr>
          <w:b/>
          <w:bCs/>
        </w:rPr>
        <w:t xml:space="preserve">RULE-M03  </w:t>
      </w:r>
      <w:r>
        <w:t xml:space="preserve">Display promotions require a minimum 14-day commitment.</w:t>
      </w:r>
    </w:p>
    <w:p>
      <w:pPr>
        <w:spacing w:after="80"/>
        <w:ind w:left="360"/>
      </w:pPr>
      <w:r>
        <w:rPr>
          <w:i/>
          <w:iCs/>
          <w:color w:val="595959"/>
        </w:rPr>
        <w:t xml:space="preserve">Rationale: </w:t>
      </w:r>
      <w:r>
        <w:rPr>
          <w:i/>
          <w:iCs/>
          <w:color w:val="595959"/>
        </w:rPr>
        <w:t xml:space="preserve">Display investment has fixed setup costs and shorter durations cannot recover them.</w:t>
      </w:r>
    </w:p>
    <w:p>
      <w:pPr>
        <w:pStyle w:val="Heading1"/>
        <w:spacing w:after="120" w:before="240"/>
      </w:pPr>
      <w:r>
        <w:rPr>
          <w:b/>
          <w:bCs/>
        </w:rPr>
        <w:t xml:space="preserve">6. Coverage Requirements</w:t>
      </w:r>
    </w:p>
    <w:p>
      <w:pPr>
        <w:spacing w:after="40" w:before="160"/>
      </w:pPr>
      <w:r>
        <w:rPr>
          <w:b/>
          <w:bCs/>
        </w:rPr>
        <w:t xml:space="preserve">RULE-C01  </w:t>
      </w:r>
      <w:r>
        <w:t xml:space="preserve">Each Tier 1 retailer must run at least 4 promotions per quarter.</w:t>
      </w:r>
    </w:p>
    <w:p>
      <w:pPr>
        <w:spacing w:after="80"/>
        <w:ind w:left="360"/>
      </w:pPr>
      <w:r>
        <w:rPr>
          <w:i/>
          <w:iCs/>
          <w:color w:val="595959"/>
        </w:rPr>
        <w:t xml:space="preserve">Rationale: </w:t>
      </w:r>
      <w:r>
        <w:rPr>
          <w:i/>
          <w:iCs/>
          <w:color w:val="595959"/>
        </w:rPr>
        <w:t xml:space="preserve">Maintains share-of-voice and joint business plan commitments with strategic accounts.</w:t>
      </w:r>
    </w:p>
    <w:p>
      <w:pPr>
        <w:spacing w:after="40" w:before="160"/>
      </w:pPr>
      <w:r>
        <w:rPr>
          <w:b/>
          <w:bCs/>
        </w:rPr>
        <w:t xml:space="preserve">RULE-C02  </w:t>
      </w:r>
      <w:r>
        <w:t xml:space="preserve">Festival weeks (Diwali, Christmas, Holi) require active promotions on at least 6 flagship SKUs.</w:t>
      </w:r>
    </w:p>
    <w:p>
      <w:pPr>
        <w:spacing w:after="80"/>
        <w:ind w:left="360"/>
      </w:pPr>
      <w:r>
        <w:rPr>
          <w:i/>
          <w:iCs/>
          <w:color w:val="595959"/>
        </w:rPr>
        <w:t xml:space="preserve">Rationale: </w:t>
      </w:r>
      <w:r>
        <w:rPr>
          <w:i/>
          <w:iCs/>
          <w:color w:val="595959"/>
        </w:rPr>
        <w:t xml:space="preserve">Festival periods are revenue-defining; under-investment is a competitive risk.</w:t>
      </w:r>
    </w:p>
    <w:p>
      <w:pPr>
        <w:spacing w:after="40" w:before="160"/>
      </w:pPr>
      <w:r>
        <w:rPr>
          <w:b/>
          <w:bCs/>
        </w:rPr>
        <w:t xml:space="preserve">RULE-C03  </w:t>
      </w:r>
      <w:r>
        <w:t xml:space="preserve">No single SKU shall be on promotion for more than 10 weeks within any rolling 13-week window.</w:t>
      </w:r>
    </w:p>
    <w:p>
      <w:pPr>
        <w:spacing w:after="80"/>
        <w:ind w:left="360"/>
      </w:pPr>
      <w:r>
        <w:rPr>
          <w:i/>
          <w:iCs/>
          <w:color w:val="595959"/>
        </w:rPr>
        <w:t xml:space="preserve">Rationale: </w:t>
      </w:r>
      <w:r>
        <w:rPr>
          <w:i/>
          <w:iCs/>
          <w:color w:val="595959"/>
        </w:rPr>
        <w:t xml:space="preserve">Continuous promotion erodes baseline pricing and trains consumers to never pay full price.</w:t>
      </w:r>
    </w:p>
    <w:p>
      <w:pPr>
        <w:pStyle w:val="Heading1"/>
        <w:spacing w:after="120" w:before="240"/>
      </w:pPr>
      <w:r>
        <w:rPr>
          <w:b/>
          <w:bCs/>
        </w:rPr>
        <w:t xml:space="preserve">7. SKU Eligibility Rules</w:t>
      </w:r>
    </w:p>
    <w:p>
      <w:pPr>
        <w:spacing w:after="40" w:before="160"/>
      </w:pPr>
      <w:r>
        <w:rPr>
          <w:b/>
          <w:bCs/>
        </w:rPr>
        <w:t xml:space="preserve">RULE-E01  </w:t>
      </w:r>
      <w:r>
        <w:t xml:space="preserve">SKUs launched within the last 90 days are ineligible for promotions.</w:t>
      </w:r>
    </w:p>
    <w:p>
      <w:pPr>
        <w:spacing w:after="80"/>
        <w:ind w:left="360"/>
      </w:pPr>
      <w:r>
        <w:rPr>
          <w:i/>
          <w:iCs/>
          <w:color w:val="595959"/>
        </w:rPr>
        <w:t xml:space="preserve">Rationale: </w:t>
      </w:r>
      <w:r>
        <w:rPr>
          <w:i/>
          <w:iCs/>
          <w:color w:val="595959"/>
        </w:rPr>
        <w:t xml:space="preserve">New launches need to establish baseline pricing and trial behaviour before discounting.</w:t>
      </w:r>
    </w:p>
    <w:p>
      <w:pPr>
        <w:spacing w:after="40" w:before="160"/>
      </w:pPr>
      <w:r>
        <w:rPr>
          <w:b/>
          <w:bCs/>
        </w:rPr>
        <w:t xml:space="preserve">RULE-E02  </w:t>
      </w:r>
      <w:r>
        <w:t xml:space="preserve">Discontinued or end-of-life SKUs may only run liquidation promotions, using the Price Off mechanic with discount depth up to 40 percent.</w:t>
      </w:r>
    </w:p>
    <w:p>
      <w:pPr>
        <w:spacing w:after="80"/>
        <w:ind w:left="360"/>
      </w:pPr>
      <w:r>
        <w:rPr>
          <w:i/>
          <w:iCs/>
          <w:color w:val="595959"/>
        </w:rPr>
        <w:t xml:space="preserve">Rationale: </w:t>
      </w:r>
      <w:r>
        <w:rPr>
          <w:i/>
          <w:iCs/>
          <w:color w:val="595959"/>
        </w:rPr>
        <w:t xml:space="preserve">Liquidation requires deeper discounts than normal trade rules permit, but only for end-of-life inventory.</w:t>
      </w:r>
    </w:p>
    <w:p>
      <w:pPr>
        <w:pStyle w:val="Heading1"/>
        <w:spacing w:after="120" w:before="240"/>
      </w:pPr>
      <w:r>
        <w:rPr>
          <w:b/>
          <w:bCs/>
        </w:rPr>
        <w:t xml:space="preserve">8. Cannibalization Guardrails</w:t>
      </w:r>
    </w:p>
    <w:p>
      <w:pPr>
        <w:spacing w:after="40" w:before="160"/>
      </w:pPr>
      <w:r>
        <w:rPr>
          <w:b/>
          <w:bCs/>
        </w:rPr>
        <w:t xml:space="preserve">RULE-X01  </w:t>
      </w:r>
      <w:r>
        <w:t xml:space="preserve">Two SKUs with cross-elasticity greater than 0.20 in the cannibalization matrix shall not be simultaneously promoted at the same retailer in the same week.</w:t>
      </w:r>
    </w:p>
    <w:p>
      <w:pPr>
        <w:spacing w:after="80"/>
        <w:ind w:left="360"/>
      </w:pPr>
      <w:r>
        <w:rPr>
          <w:i/>
          <w:iCs/>
          <w:color w:val="595959"/>
        </w:rPr>
        <w:t xml:space="preserve">Rationale: </w:t>
      </w:r>
      <w:r>
        <w:rPr>
          <w:i/>
          <w:iCs/>
          <w:color w:val="595959"/>
        </w:rPr>
        <w:t xml:space="preserve">Simultaneous promotion of close substitutes wastes trade spend; lift is largely traded between the two SKUs.</w:t>
      </w:r>
    </w:p>
    <w:p>
      <w:pPr>
        <w:pStyle w:val="Heading1"/>
        <w:spacing w:after="120" w:before="240"/>
      </w:pPr>
      <w:r>
        <w:rPr>
          <w:b/>
          <w:bCs/>
        </w:rPr>
        <w:t xml:space="preserve">9. Compliance and Regulatory Rules</w:t>
      </w:r>
    </w:p>
    <w:p>
      <w:pPr>
        <w:spacing w:after="40" w:before="160"/>
      </w:pPr>
      <w:r>
        <w:rPr>
          <w:b/>
          <w:bCs/>
        </w:rPr>
        <w:t xml:space="preserve">RULE-R01  </w:t>
      </w:r>
      <w:r>
        <w:t xml:space="preserve">SKUs in categories currently under regulatory review may not be promoted. The current restricted list is maintained by the Legal team and refreshed monthly.</w:t>
      </w:r>
    </w:p>
    <w:p>
      <w:pPr>
        <w:spacing w:after="80"/>
        <w:ind w:left="360"/>
      </w:pPr>
      <w:r>
        <w:rPr>
          <w:i/>
          <w:iCs/>
          <w:color w:val="595959"/>
        </w:rPr>
        <w:t xml:space="preserve">Rationale: </w:t>
      </w:r>
      <w:r>
        <w:rPr>
          <w:i/>
          <w:iCs/>
          <w:color w:val="595959"/>
        </w:rPr>
        <w:t xml:space="preserve">Regulatory exposure during a review period creates outsized legal risk.</w:t>
      </w:r>
    </w:p>
    <w:p>
      <w:pPr>
        <w:spacing w:after="40" w:before="160"/>
      </w:pPr>
      <w:r>
        <w:rPr>
          <w:b/>
          <w:bCs/>
        </w:rPr>
        <w:t xml:space="preserve">RULE-R02  </w:t>
      </w:r>
      <w:r>
        <w:t xml:space="preserve">Promotional materials must comply with local advertising standards. Any plan that references restricted health claims, comparative claims against named competitors, or unverified efficacy statements shall be flagged.</w:t>
      </w:r>
    </w:p>
    <w:p>
      <w:pPr>
        <w:spacing w:after="80"/>
        <w:ind w:left="360"/>
      </w:pPr>
      <w:r>
        <w:rPr>
          <w:i/>
          <w:iCs/>
          <w:color w:val="595959"/>
        </w:rPr>
        <w:t xml:space="preserve">Rationale: </w:t>
      </w:r>
      <w:r>
        <w:rPr>
          <w:i/>
          <w:iCs/>
          <w:color w:val="595959"/>
        </w:rPr>
        <w:t xml:space="preserve">Ensures advertising compliance and protects brand reputation.</w:t>
      </w:r>
    </w:p>
    <w:p>
      <w:pPr>
        <w:spacing w:before="360"/>
      </w:pPr>
      <w:r>
        <w:t xml:space="preserve"> </w:t>
      </w:r>
    </w:p>
    <w:p>
      <w:pPr>
        <w:pBdr>
          <w:top w:val="single" w:color="2E75B6" w:sz="6" w:space="4"/>
        </w:pBdr>
        <w:spacing w:after="80" w:before="240"/>
      </w:pPr>
      <w:r>
        <w:rPr>
          <w:b/>
          <w:bCs/>
        </w:rPr>
        <w:t xml:space="preserve">Change log</w:t>
      </w:r>
    </w:p>
    <w:p>
      <w:pPr>
        <w:spacing w:after="100"/>
      </w:pPr>
      <w:r>
        <w:rPr>
          <w:color w:val="595959"/>
          <w:sz w:val="20"/>
          <w:szCs w:val="20"/>
        </w:rPr>
        <w:t xml:space="preserve">v1.0 — Initial publication for FY26.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Promotion Business Rules</dc:title>
  <dc:creator>Prateek Srivastava</dc:creator>
  <dc:description>Operating guardrails for trade promotion planning, consumed by the TPM ROI Optimizer agent.</dc:description>
  <cp:lastModifiedBy>Un-named</cp:lastModifiedBy>
  <cp:revision>1</cp:revision>
  <dcterms:created xsi:type="dcterms:W3CDTF">2026-05-24T10:27:13.555Z</dcterms:created>
  <dcterms:modified xsi:type="dcterms:W3CDTF">2026-05-24T10:27:13.556Z</dcterms:modified>
</cp:coreProperties>
</file>

<file path=docProps/custom.xml><?xml version="1.0" encoding="utf-8"?>
<Properties xmlns="http://schemas.openxmlformats.org/officeDocument/2006/custom-properties" xmlns:vt="http://schemas.openxmlformats.org/officeDocument/2006/docPropsVTypes"/>
</file>