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h5w1rmsa9c2d" w:id="0"/>
      <w:bookmarkEnd w:id="0"/>
      <w:r w:rsidDel="00000000" w:rsidR="00000000" w:rsidRPr="00000000">
        <w:rPr>
          <w:sz w:val="34"/>
          <w:szCs w:val="34"/>
          <w:rtl w:val="0"/>
        </w:rPr>
        <w:t xml:space="preserve">Offline Interview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N banks(merchants) and M customers. A customer can have an account in multiple banks.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https://drive.google.com/drive/folders/1qryhdlgNsmecWRy2haI8S3uC63wKk5X-?usp=sharing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/transactions.csv - represents various transaction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/CustomerImportance.csv - A higher weightage for a customer and transaction type means banks want to give higher benefits to those customers for those transaction types. Ignore the fraud field.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mechanism X to invoke every second and create a chunk of next 10,000 transaction entries from GDrive and put them into a S3 folder.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mechanism Y that starts at the same time as X and ingests the above S3 stream as soon as transaction chunk files become available, detects the below patterns asap and puts these detections to S3 , 50 at a time to a unique file. Each detection consists of YStartTime(IST), detectionTime(IST),patternId, ActionType, customerName, MerchantId.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Whichever fields for a given detection aren't applicable, leave them as “” empty string.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postgres to store any temp information.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lvi6fq2s9kvf" w:id="1"/>
      <w:bookmarkEnd w:id="1"/>
      <w:r w:rsidDel="00000000" w:rsidR="00000000" w:rsidRPr="00000000">
        <w:rPr>
          <w:rtl w:val="0"/>
        </w:rPr>
        <w:t xml:space="preserve">Patterns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PatId1 - A customer in the top 10 percentile for a given merchant for the total number of transactions with the bottom 10% percentile weight averaged over all transaction types, merchant wants to UPGRADE(actionType) them. Upgradation only begins once total transactions for the merchant exceed 50K.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PatId2 - A customer whose average transaction value for a given merchant &lt; Rs 23 and made at least 80 transactions with that merchant, merchant wants to mark them as CHILD(actionType) asap.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PatId3 - Merchants where number of Female customers &lt; number of Male customers overall and number of female customers &gt; 100, are marked DEI-NEEDED(actionType)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gr5g9kdcx1dg" w:id="2"/>
      <w:bookmarkEnd w:id="2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Share the below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hiring@devdolphins.com</w:t>
        </w:r>
      </w:hyperlink>
      <w:r w:rsidDel="00000000" w:rsidR="00000000" w:rsidRPr="00000000">
        <w:rPr>
          <w:rtl w:val="0"/>
        </w:rPr>
        <w:t xml:space="preserve"> with heading “PySpark Data Engineer - Submission - &lt;YourFullName&gt;”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github link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downloadable s3 link where all output files are zipped into a single file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loom.com video each for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showing a live running demo of the above in action.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explaining the code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explaining the setup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showing sample output data, intermediary files and postgres data, if any.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of X and Y explanation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ra9go0cu6wyu" w:id="3"/>
      <w:bookmarkEnd w:id="3"/>
      <w:r w:rsidDel="00000000" w:rsidR="00000000" w:rsidRPr="00000000">
        <w:rPr>
          <w:rtl w:val="0"/>
        </w:rPr>
        <w:t xml:space="preserve">Constraints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Databricks Pyspark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Free AWS account / Azure account with a new email id if you existing one expired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assumptions and write them done, if any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tech you don't know, please learn and attempt it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Deadline 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2-3</w:t>
      </w:r>
      <w:r w:rsidDel="00000000" w:rsidR="00000000" w:rsidRPr="00000000">
        <w:rPr>
          <w:rtl w:val="0"/>
        </w:rPr>
        <w:t xml:space="preserve"> days from when open this 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 will judged based on attention to detail, output accuracy, architecture, and maintainable code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ryhdlgNsmecWRy2haI8S3uC63wKk5X-?usp=sharing" TargetMode="External"/><Relationship Id="rId7" Type="http://schemas.openxmlformats.org/officeDocument/2006/relationships/hyperlink" Target="mailto:hiring@devdolphin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