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E3A5F"/>
          <w:sz w:val="96"/>
          <w:szCs w:val="96"/>
        </w:rPr>
        <w:t xml:space="preserve">ARIA</w:t>
      </w:r>
    </w:p>
    <w:p>
      <w:pPr>
        <w:spacing w:after="320" w:before="0"/>
        <w:jc w:val="center"/>
      </w:pPr>
      <w:r>
        <w:rPr>
          <w:rFonts w:ascii="Arial" w:cs="Arial" w:eastAsia="Arial" w:hAnsi="Arial"/>
          <w:b w:val="false"/>
          <w:bCs w:val="false"/>
          <w:color w:val="2563EB"/>
          <w:sz w:val="36"/>
          <w:szCs w:val="36"/>
        </w:rPr>
        <w:t xml:space="preserve">AI Risk &amp; Intelligence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spacing w:after="80" w:before="0"/>
              <w:jc w:val="center"/>
            </w:pPr>
            <w:r>
              <w:rPr>
                <w:rFonts w:ascii="Arial" w:cs="Arial" w:eastAsia="Arial" w:hAnsi="Arial"/>
                <w:b/>
                <w:bCs/>
                <w:color w:val="FFFFFF"/>
                <w:sz w:val="28"/>
                <w:szCs w:val="28"/>
              </w:rPr>
              <w:t xml:space="preserve">Enterprise Grid — Technical &amp; User Documentation</w:t>
            </w:r>
          </w:p>
          <w:p>
            <w:pPr>
              <w:spacing w:after="0" w:before="0"/>
              <w:jc w:val="center"/>
            </w:pPr>
            <w:r>
              <w:rPr>
                <w:rFonts w:ascii="Arial" w:cs="Arial" w:eastAsia="Arial" w:hAnsi="Arial"/>
                <w:color w:val="BFDBFE"/>
                <w:sz w:val="20"/>
                <w:szCs w:val="20"/>
              </w:rPr>
              <w:t xml:space="preserve">Version 1.0  |  Confidential  |  For Internal Use Only</w:t>
            </w:r>
          </w:p>
        </w:tc>
      </w:tr>
    </w:tbl>
    <w:p>
      <w:pPr>
        <w:spacing w:after="0" w:before="400"/>
      </w:pPr>
      <w:r>
        <w:t xml:space="preserve"/>
      </w:r>
    </w:p>
    <w:p>
      <w:pPr>
        <w:spacing w:after="80" w:before="0"/>
        <w:jc w:val="center"/>
      </w:pPr>
      <w:r>
        <w:rPr>
          <w:rFonts w:ascii="Arial" w:cs="Arial" w:eastAsia="Arial" w:hAnsi="Arial"/>
          <w:color w:val="374151"/>
          <w:sz w:val="22"/>
          <w:szCs w:val="22"/>
        </w:rPr>
        <w:t xml:space="preserve">Prepared by: Risk &amp; Governance Technology Team</w:t>
      </w:r>
    </w:p>
    <w:p>
      <w:pPr>
        <w:spacing w:after="80" w:before="0"/>
        <w:jc w:val="center"/>
      </w:pPr>
      <w:r>
        <w:rPr>
          <w:rFonts w:ascii="Arial" w:cs="Arial" w:eastAsia="Arial" w:hAnsi="Arial"/>
          <w:color w:val="374151"/>
          <w:sz w:val="22"/>
          <w:szCs w:val="22"/>
        </w:rPr>
        <w:t xml:space="preserve">Date: 02 April 2026</w:t>
      </w:r>
    </w:p>
    <w:p>
      <w:pPr>
        <w:spacing w:after="0" w:before="0"/>
        <w:jc w:val="center"/>
      </w:pPr>
      <w:r>
        <w:rPr>
          <w:rFonts w:ascii="Arial" w:cs="Arial" w:eastAsia="Arial" w:hAnsi="Arial"/>
          <w:color w:val="374151"/>
          <w:sz w:val="22"/>
          <w:szCs w:val="22"/>
        </w:rPr>
        <w:t xml:space="preserve">Classification: Internal / Restricted</w:t>
      </w:r>
    </w:p>
    <w:p>
      <w:pPr>
        <w:spacing w:after="0" w:before="0"/>
      </w:pPr>
      <w:r>
        <w:br w:type="page"/>
      </w:r>
    </w:p>
    <w:p>
      <w:pPr>
        <w:sectPr>
          <w:pgSz w:w="12240" w:h="15840" w:orient="portrait"/>
          <w:pgMar w:top="1440" w:right="1440" w:bottom="1440" w:left="1440" w:header="708" w:footer="708" w:gutter="0"/>
          <w:pgNumType/>
          <w:docGrid w:linePitch="360"/>
        </w:sectPr>
      </w:pPr>
    </w:p>
    <w:p>
      <w:pPr>
        <w:pStyle w:val="Heading1"/>
        <w:pBdr>
          <w:bottom w:val="single" w:color="2563EB" w:sz="6" w:space="6"/>
        </w:pBdr>
        <w:spacing w:after="120" w:before="360"/>
      </w:pPr>
      <w:r>
        <w:rPr>
          <w:rFonts w:ascii="Arial" w:cs="Arial" w:eastAsia="Arial" w:hAnsi="Arial"/>
          <w:b/>
          <w:bCs/>
          <w:color w:val="1E3A5F"/>
          <w:sz w:val="32"/>
          <w:szCs w:val="32"/>
        </w:rPr>
        <w:t xml:space="preserve">1. Executive Summary</w:t>
      </w:r>
    </w:p>
    <w:p>
      <w:pPr>
        <w:spacing w:after="80" w:before="80"/>
      </w:pPr>
      <w:r>
        <w:rPr>
          <w:rFonts w:ascii="Arial" w:cs="Arial" w:eastAsia="Arial" w:hAnsi="Arial"/>
          <w:color w:val="1F2937"/>
          <w:sz w:val="22"/>
          <w:szCs w:val="22"/>
        </w:rPr>
        <w:t xml:space="preserve">ARIA (AI Risk &amp; Intelligence Assessment) is a browser-based enterprise framework designed to provide organisations with a structured, repeatable, and audit-ready methodology for evaluating the risk profile of artificial intelligence systems prior to deployment and during operational review cycles.</w:t>
      </w:r>
    </w:p>
    <w:p>
      <w:pPr>
        <w:spacing w:after="80" w:before="80"/>
      </w:pPr>
      <w:r>
        <w:t xml:space="preserve"/>
      </w:r>
    </w:p>
    <w:p>
      <w:pPr>
        <w:spacing w:after="80" w:before="80"/>
      </w:pPr>
      <w:r>
        <w:rPr>
          <w:rFonts w:ascii="Arial" w:cs="Arial" w:eastAsia="Arial" w:hAnsi="Arial"/>
          <w:color w:val="1F2937"/>
          <w:sz w:val="22"/>
          <w:szCs w:val="22"/>
        </w:rPr>
        <w:t xml:space="preserve">The platform enables risk, compliance, legal, and technology teams to conduct thorough multi-dimensional assessments across eight critical domains — from use-case criticality and data governance through to security, fairness, and regulatory compliance — producing a quantified residual risk score and a professionally formatted PDF report suitable for internal governance boards and external auditors.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0" w:before="0"/>
            </w:pPr>
            <w:r>
              <w:rPr>
                <w:rFonts w:ascii="Arial" w:cs="Arial" w:eastAsia="Arial" w:hAnsi="Arial"/>
                <w:b/>
                <w:bCs/>
                <w:color w:val="92400E"/>
                <w:sz w:val="21"/>
                <w:szCs w:val="21"/>
              </w:rPr>
              <w:t xml:space="preserve">⚠️  IMPORTANT — Data Privacy Notice:  </w:t>
            </w:r>
            <w:r>
              <w:rPr>
                <w:rFonts w:ascii="Arial" w:cs="Arial" w:eastAsia="Arial" w:hAnsi="Arial"/>
                <w:color w:val="374151"/>
                <w:sz w:val="21"/>
                <w:szCs w:val="21"/>
              </w:rPr>
              <w:t xml:space="preserve">All information entered into ARIA is processed entirely within your browser session and is never transmitted to any external server or stored on any backend system. Data exists only in memory while the browser tab is open. Refreshing or closing the page permanently erases all entered data. ARIA is designed for on-the-fly, session-based use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Product Name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ARIA — AI Risk &amp; Intelligence Assessment (Enterprise Grid)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1.0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Deployment Type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Static browser application (fully client-side)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Data Retention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None — session memory only; erased on page refresh</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External Transmission</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None (unless optional AI API is explicitly configured)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Assessment Domains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8 risk domains with weighted scoring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Output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On-screen results dashboard + downloadable PDF audit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Accessibility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Light/Dark themes, WCAG-friendly contrast, keyboard navigation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Supported Browsers</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Chrome, Firefox, Edge, Safari (modern versions)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Any static host (S3, GitHub Pages, Netlify, Vercel, Azure SWA)</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2. Purpose &amp; Scope</w:t>
      </w:r>
    </w:p>
    <w:p>
      <w:pPr>
        <w:pStyle w:val="Heading2"/>
        <w:spacing w:after="100" w:before="280"/>
      </w:pPr>
      <w:r>
        <w:rPr>
          <w:rFonts w:ascii="Arial" w:cs="Arial" w:eastAsia="Arial" w:hAnsi="Arial"/>
          <w:b/>
          <w:bCs/>
          <w:color w:val="2563EB"/>
          <w:sz w:val="26"/>
          <w:szCs w:val="26"/>
        </w:rPr>
        <w:t xml:space="preserve">2.1 Purpose</w:t>
      </w:r>
    </w:p>
    <w:p>
      <w:pPr>
        <w:spacing w:after="80" w:before="80"/>
      </w:pPr>
      <w:r>
        <w:rPr>
          <w:rFonts w:ascii="Arial" w:cs="Arial" w:eastAsia="Arial" w:hAnsi="Arial"/>
          <w:color w:val="1F2937"/>
          <w:sz w:val="22"/>
          <w:szCs w:val="22"/>
        </w:rPr>
        <w:t xml:space="preserve">The rapid adoption of AI systems across enterprise functions has introduced a complex set of risks — operational, reputational, ethical, and regulatory. ARIA was built to address the need for a consistent, transparent, and defensible risk assessment process that does not require specialist tooling or vendor dependencies.</w:t>
      </w:r>
    </w:p>
    <w:p>
      <w:pPr>
        <w:spacing w:after="80" w:before="80"/>
      </w:pPr>
      <w:r>
        <w:t xml:space="preserve"/>
      </w:r>
    </w:p>
    <w:p>
      <w:pPr>
        <w:spacing w:after="80" w:before="80"/>
      </w:pPr>
      <w:r>
        <w:rPr>
          <w:rFonts w:ascii="Arial" w:cs="Arial" w:eastAsia="Arial" w:hAnsi="Arial"/>
          <w:color w:val="1F2937"/>
          <w:sz w:val="22"/>
          <w:szCs w:val="22"/>
        </w:rPr>
        <w:t xml:space="preserve">ARIA's core objectives are:</w:t>
      </w:r>
    </w:p>
    <w:p>
      <w:pPr>
        <w:pStyle w:val="ListParagraph"/>
        <w:numPr>
          <w:ilvl w:val="0"/>
          <w:numId w:val="2"/>
        </w:numPr>
        <w:spacing w:after="60" w:before="60"/>
      </w:pPr>
      <w:r>
        <w:rPr>
          <w:rFonts w:ascii="Arial" w:cs="Arial" w:eastAsia="Arial" w:hAnsi="Arial"/>
          <w:b w:val="false"/>
          <w:bCs w:val="false"/>
          <w:color w:val="1F2937"/>
          <w:sz w:val="22"/>
          <w:szCs w:val="22"/>
        </w:rPr>
        <w:t xml:space="preserve">Provide a standardised framework for evaluating AI systems before and during deployment.</w:t>
      </w:r>
    </w:p>
    <w:p>
      <w:pPr>
        <w:pStyle w:val="ListParagraph"/>
        <w:numPr>
          <w:ilvl w:val="0"/>
          <w:numId w:val="2"/>
        </w:numPr>
        <w:spacing w:after="60" w:before="60"/>
      </w:pPr>
      <w:r>
        <w:rPr>
          <w:rFonts w:ascii="Arial" w:cs="Arial" w:eastAsia="Arial" w:hAnsi="Arial"/>
          <w:b w:val="false"/>
          <w:bCs w:val="false"/>
          <w:color w:val="1F2937"/>
          <w:sz w:val="22"/>
          <w:szCs w:val="22"/>
        </w:rPr>
        <w:t xml:space="preserve">Quantify risk across multiple dimensions using a transparent scoring model.</w:t>
      </w:r>
    </w:p>
    <w:p>
      <w:pPr>
        <w:pStyle w:val="ListParagraph"/>
        <w:numPr>
          <w:ilvl w:val="0"/>
          <w:numId w:val="2"/>
        </w:numPr>
        <w:spacing w:after="60" w:before="60"/>
      </w:pPr>
      <w:r>
        <w:rPr>
          <w:rFonts w:ascii="Arial" w:cs="Arial" w:eastAsia="Arial" w:hAnsi="Arial"/>
          <w:b w:val="false"/>
          <w:bCs w:val="false"/>
          <w:color w:val="1F2937"/>
          <w:sz w:val="22"/>
          <w:szCs w:val="22"/>
        </w:rPr>
        <w:t xml:space="preserve">Generate audit-ready documentation that satisfies internal governance and external regulatory requirements.</w:t>
      </w:r>
    </w:p>
    <w:p>
      <w:pPr>
        <w:pStyle w:val="ListParagraph"/>
        <w:numPr>
          <w:ilvl w:val="0"/>
          <w:numId w:val="2"/>
        </w:numPr>
        <w:spacing w:after="60" w:before="60"/>
      </w:pPr>
      <w:r>
        <w:rPr>
          <w:rFonts w:ascii="Arial" w:cs="Arial" w:eastAsia="Arial" w:hAnsi="Arial"/>
          <w:b w:val="false"/>
          <w:bCs w:val="false"/>
          <w:color w:val="1F2937"/>
          <w:sz w:val="22"/>
          <w:szCs w:val="22"/>
        </w:rPr>
        <w:t xml:space="preserve">Enable non-specialist users (risk managers, product owners, compliance officers) to conduct rigorous assessments without deep technical knowledge.</w:t>
      </w:r>
    </w:p>
    <w:p>
      <w:pPr>
        <w:pStyle w:val="ListParagraph"/>
        <w:numPr>
          <w:ilvl w:val="0"/>
          <w:numId w:val="2"/>
        </w:numPr>
        <w:spacing w:after="60" w:before="60"/>
      </w:pPr>
      <w:r>
        <w:rPr>
          <w:rFonts w:ascii="Arial" w:cs="Arial" w:eastAsia="Arial" w:hAnsi="Arial"/>
          <w:b w:val="false"/>
          <w:bCs w:val="false"/>
          <w:color w:val="1F2937"/>
          <w:sz w:val="22"/>
          <w:szCs w:val="22"/>
        </w:rPr>
        <w:t xml:space="preserve">Operate fully offline and without any data leaving the user's device, ensuring maximum data privacy.</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2.2 Scope</w:t>
      </w:r>
    </w:p>
    <w:p>
      <w:pPr>
        <w:spacing w:after="80" w:before="80"/>
      </w:pPr>
      <w:r>
        <w:rPr>
          <w:rFonts w:ascii="Arial" w:cs="Arial" w:eastAsia="Arial" w:hAnsi="Arial"/>
          <w:color w:val="1F2937"/>
          <w:sz w:val="22"/>
          <w:szCs w:val="22"/>
        </w:rPr>
        <w:t xml:space="preserve">ARIA is applicable to the assessment of any AI or machine-learning system under consideration for deployment or currently in operation within an organisation. Typical use cases include:</w:t>
      </w:r>
    </w:p>
    <w:p>
      <w:pPr>
        <w:pStyle w:val="ListParagraph"/>
        <w:numPr>
          <w:ilvl w:val="0"/>
          <w:numId w:val="2"/>
        </w:numPr>
        <w:spacing w:after="60" w:before="60"/>
      </w:pPr>
      <w:r>
        <w:rPr>
          <w:rFonts w:ascii="Arial" w:cs="Arial" w:eastAsia="Arial" w:hAnsi="Arial"/>
          <w:b w:val="false"/>
          <w:bCs w:val="false"/>
          <w:color w:val="1F2937"/>
          <w:sz w:val="22"/>
          <w:szCs w:val="22"/>
        </w:rPr>
        <w:t xml:space="preserve">Pre-deployment risk approval for new AI models or AI-powered applications.</w:t>
      </w:r>
    </w:p>
    <w:p>
      <w:pPr>
        <w:pStyle w:val="ListParagraph"/>
        <w:numPr>
          <w:ilvl w:val="0"/>
          <w:numId w:val="2"/>
        </w:numPr>
        <w:spacing w:after="60" w:before="60"/>
      </w:pPr>
      <w:r>
        <w:rPr>
          <w:rFonts w:ascii="Arial" w:cs="Arial" w:eastAsia="Arial" w:hAnsi="Arial"/>
          <w:b w:val="false"/>
          <w:bCs w:val="false"/>
          <w:color w:val="1F2937"/>
          <w:sz w:val="22"/>
          <w:szCs w:val="22"/>
        </w:rPr>
        <w:t xml:space="preserve">Periodic review of existing AI systems as part of an ongoing governance programme.</w:t>
      </w:r>
    </w:p>
    <w:p>
      <w:pPr>
        <w:pStyle w:val="ListParagraph"/>
        <w:numPr>
          <w:ilvl w:val="0"/>
          <w:numId w:val="2"/>
        </w:numPr>
        <w:spacing w:after="60" w:before="60"/>
      </w:pPr>
      <w:r>
        <w:rPr>
          <w:rFonts w:ascii="Arial" w:cs="Arial" w:eastAsia="Arial" w:hAnsi="Arial"/>
          <w:b w:val="false"/>
          <w:bCs w:val="false"/>
          <w:color w:val="1F2937"/>
          <w:sz w:val="22"/>
          <w:szCs w:val="22"/>
        </w:rPr>
        <w:t xml:space="preserve">Third-party AI vendor assessments as part of procurement due diligence.</w:t>
      </w:r>
    </w:p>
    <w:p>
      <w:pPr>
        <w:pStyle w:val="ListParagraph"/>
        <w:numPr>
          <w:ilvl w:val="0"/>
          <w:numId w:val="2"/>
        </w:numPr>
        <w:spacing w:after="60" w:before="60"/>
      </w:pPr>
      <w:r>
        <w:rPr>
          <w:rFonts w:ascii="Arial" w:cs="Arial" w:eastAsia="Arial" w:hAnsi="Arial"/>
          <w:b w:val="false"/>
          <w:bCs w:val="false"/>
          <w:color w:val="1F2937"/>
          <w:sz w:val="22"/>
          <w:szCs w:val="22"/>
        </w:rPr>
        <w:t xml:space="preserve">Regulatory compliance gap analysis against frameworks such as EU AI Act, ISO 42001, NIST AI RMF, and similar.</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3. Data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single" w:color="991B1B" w:sz="8"/>
              <w:bottom w:val="single" w:color="CCCCCC" w:sz="1"/>
              <w:right w:val="single" w:color="CCCCCC" w:sz="1"/>
            </w:tcBorders>
            <w:shd w:fill="FEE2E2" w:val="clear"/>
            <w:tcMar>
              <w:top w:type="dxa" w:w="160"/>
              <w:left w:type="dxa" w:w="200"/>
              <w:bottom w:type="dxa" w:w="160"/>
              <w:right w:type="dxa" w:w="200"/>
            </w:tcMar>
          </w:tcPr>
          <w:p>
            <w:pPr>
              <w:spacing w:after="80" w:before="0"/>
            </w:pPr>
            <w:r>
              <w:rPr>
                <w:rFonts w:ascii="Arial" w:cs="Arial" w:eastAsia="Arial" w:hAnsi="Arial"/>
                <w:b/>
                <w:bCs/>
                <w:color w:val="991B1B"/>
                <w:sz w:val="24"/>
                <w:szCs w:val="24"/>
              </w:rPr>
              <w:t xml:space="preserve">CRITICAL — Understanding ARIA's Data Handling</w:t>
            </w:r>
          </w:p>
          <w:p>
            <w:pPr>
              <w:spacing w:after="60" w:before="0"/>
            </w:pPr>
            <w:r>
              <w:rPr>
                <w:rFonts w:ascii="Arial" w:cs="Arial" w:eastAsia="Arial" w:hAnsi="Arial"/>
                <w:color w:val="7F1D1D"/>
                <w:sz w:val="21"/>
                <w:szCs w:val="21"/>
              </w:rPr>
              <w:t xml:space="preserve">All data entered into ARIA resides solely in your browser's active memory (JavaScript runtime). There is no database, no server, no cloud storage, and no logging of any kind. The moment you refresh the page, navigate away, or close the browser tab, every piece of information you have entered is permanently and irrecoverably deleted.</w:t>
            </w:r>
          </w:p>
          <w:p>
            <w:pPr>
              <w:spacing w:after="0" w:before="60"/>
            </w:pPr>
            <w:r>
              <w:rPr>
                <w:rFonts w:ascii="Arial" w:cs="Arial" w:eastAsia="Arial" w:hAnsi="Arial"/>
                <w:b/>
                <w:bCs/>
                <w:color w:val="7F1D1D"/>
                <w:sz w:val="21"/>
                <w:szCs w:val="21"/>
              </w:rPr>
              <w:t xml:space="preserve">This is a deliberate architectural choice to guarantee that sensitive business, model, and compliance information never leaves your organisation's endpoint.</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3.1 What This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Outcome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Page Refresh (F5 / Browser Refresh)</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All assessment data is permanently erased. You must start the assessment again.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Browser Tab Closed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All data is permanently erased immediately.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Browser Crash or Force Quit</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All data is permanently erased. No recovery is possible.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Session Timeout / Sleep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Data persists only while the browser process remains in memory. Closing/sleep may cause loss.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Network Disconnection</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No impact — ARIA operates fully offline once loaded.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Optional AI API Enabled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Only if you explicitly configure an external AI endpoint will any data leave your device.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Multiple Users / Shared Device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Each browser session is isolated. No data is shared between users or sessions.</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3.2 Recommendations for Users</w:t>
      </w:r>
    </w:p>
    <w:p>
      <w:pPr>
        <w:pStyle w:val="ListParagraph"/>
        <w:numPr>
          <w:ilvl w:val="0"/>
          <w:numId w:val="2"/>
        </w:numPr>
        <w:spacing w:after="60" w:before="60"/>
      </w:pPr>
      <w:r>
        <w:rPr>
          <w:rFonts w:ascii="Arial" w:cs="Arial" w:eastAsia="Arial" w:hAnsi="Arial"/>
          <w:b w:val="false"/>
          <w:bCs w:val="false"/>
          <w:color w:val="1F2937"/>
          <w:sz w:val="22"/>
          <w:szCs w:val="22"/>
        </w:rPr>
        <w:t xml:space="preserve">Complete the full assessment in a single uninterrupted session.</w:t>
      </w:r>
    </w:p>
    <w:p>
      <w:pPr>
        <w:pStyle w:val="ListParagraph"/>
        <w:numPr>
          <w:ilvl w:val="0"/>
          <w:numId w:val="2"/>
        </w:numPr>
        <w:spacing w:after="60" w:before="60"/>
      </w:pPr>
      <w:r>
        <w:rPr>
          <w:rFonts w:ascii="Arial" w:cs="Arial" w:eastAsia="Arial" w:hAnsi="Arial"/>
          <w:b w:val="false"/>
          <w:bCs w:val="false"/>
          <w:color w:val="1F2937"/>
          <w:sz w:val="22"/>
          <w:szCs w:val="22"/>
        </w:rPr>
        <w:t xml:space="preserve">Download the PDF report before closing or refreshing the browser — this is your only persistent record.</w:t>
      </w:r>
    </w:p>
    <w:p>
      <w:pPr>
        <w:pStyle w:val="ListParagraph"/>
        <w:numPr>
          <w:ilvl w:val="0"/>
          <w:numId w:val="2"/>
        </w:numPr>
        <w:spacing w:after="60" w:before="60"/>
      </w:pPr>
      <w:r>
        <w:rPr>
          <w:rFonts w:ascii="Arial" w:cs="Arial" w:eastAsia="Arial" w:hAnsi="Arial"/>
          <w:b w:val="false"/>
          <w:bCs w:val="false"/>
          <w:color w:val="1F2937"/>
          <w:sz w:val="22"/>
          <w:szCs w:val="22"/>
        </w:rPr>
        <w:t xml:space="preserve">Do not use the browser's back/forward buttons during an active assessment, as this may reload the page and erase data.</w:t>
      </w:r>
    </w:p>
    <w:p>
      <w:pPr>
        <w:pStyle w:val="ListParagraph"/>
        <w:numPr>
          <w:ilvl w:val="0"/>
          <w:numId w:val="2"/>
        </w:numPr>
        <w:spacing w:after="60" w:before="60"/>
      </w:pPr>
      <w:r>
        <w:rPr>
          <w:rFonts w:ascii="Arial" w:cs="Arial" w:eastAsia="Arial" w:hAnsi="Arial"/>
          <w:b w:val="false"/>
          <w:bCs w:val="false"/>
          <w:color w:val="1F2937"/>
          <w:sz w:val="22"/>
          <w:szCs w:val="22"/>
        </w:rPr>
        <w:t xml:space="preserve">If your organisation requires persistent storage of assessment results, retain the downloaded PDF report in your document management system.</w:t>
      </w:r>
    </w:p>
    <w:p>
      <w:pPr>
        <w:pStyle w:val="ListParagraph"/>
        <w:numPr>
          <w:ilvl w:val="0"/>
          <w:numId w:val="2"/>
        </w:numPr>
        <w:spacing w:after="60" w:before="60"/>
      </w:pPr>
      <w:r>
        <w:rPr>
          <w:rFonts w:ascii="Arial" w:cs="Arial" w:eastAsia="Arial" w:hAnsi="Arial"/>
          <w:b w:val="false"/>
          <w:bCs w:val="false"/>
          <w:color w:val="1F2937"/>
          <w:sz w:val="22"/>
          <w:szCs w:val="22"/>
        </w:rPr>
        <w:t xml:space="preserve">For large or complex assessments, consider drafting your answers in a separate document first, then entering them into ARIA.</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3.3 Optional AI Integration</w:t>
      </w:r>
    </w:p>
    <w:p>
      <w:pPr>
        <w:spacing w:after="80" w:before="80"/>
      </w:pPr>
      <w:r>
        <w:rPr>
          <w:rFonts w:ascii="Arial" w:cs="Arial" w:eastAsia="Arial" w:hAnsi="Arial"/>
          <w:color w:val="1F2937"/>
          <w:sz w:val="22"/>
          <w:szCs w:val="22"/>
        </w:rPr>
        <w:t xml:space="preserve">ARIA includes scaffolding for an optional AI-powered summarisation feature. This feature is disabled by default. If enabled by a system administrator or developer, it will transmit assessment context to an external AI API endpoint for enhanced narrative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before="0"/>
            </w:pPr>
            <w:r>
              <w:rPr>
                <w:rFonts w:ascii="Arial" w:cs="Arial" w:eastAsia="Arial" w:hAnsi="Arial"/>
                <w:b/>
                <w:bCs/>
                <w:color w:val="1E3A5F"/>
                <w:sz w:val="21"/>
                <w:szCs w:val="21"/>
              </w:rPr>
              <w:t xml:space="preserve">Note:  </w:t>
            </w:r>
            <w:r>
              <w:rPr>
                <w:rFonts w:ascii="Arial" w:cs="Arial" w:eastAsia="Arial" w:hAnsi="Arial"/>
                <w:color w:val="374151"/>
                <w:sz w:val="21"/>
                <w:szCs w:val="21"/>
              </w:rPr>
              <w:t xml:space="preserve">The local fallback scoring model is always available and is the recommended default. Only enable the external AI integration after consulting your organisation's data classification and information security policies.</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4. Platform Architecture</w:t>
      </w:r>
    </w:p>
    <w:p>
      <w:pPr>
        <w:pStyle w:val="Heading2"/>
        <w:spacing w:after="100" w:before="280"/>
      </w:pPr>
      <w:r>
        <w:rPr>
          <w:rFonts w:ascii="Arial" w:cs="Arial" w:eastAsia="Arial" w:hAnsi="Arial"/>
          <w:b/>
          <w:bCs/>
          <w:color w:val="2563EB"/>
          <w:sz w:val="26"/>
          <w:szCs w:val="26"/>
        </w:rPr>
        <w:t xml:space="preserve">4.1 File Structure</w:t>
      </w:r>
    </w:p>
    <w:p>
      <w:pPr>
        <w:spacing w:after="80" w:before="80"/>
      </w:pPr>
      <w:r>
        <w:rPr>
          <w:rFonts w:ascii="Arial" w:cs="Arial" w:eastAsia="Arial" w:hAnsi="Arial"/>
          <w:color w:val="1F2937"/>
          <w:sz w:val="22"/>
          <w:szCs w:val="22"/>
        </w:rPr>
        <w:t xml:space="preserve">ARIA follows a clean separation-of-concerns architecture comprising three primary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ai-assessment-framework.html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Main application entry point. Contains semantic HTML structure for the assessment wizard, profile form, domain questions, and results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framework-overview.html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Methodology explainer page. Documents the scoring model, formulas, domain definitions, and decision thresholds for stakeholder reference.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assets/style.css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All visual styling including theming variables (light/dark), responsive layout, component styles, and accessibility properties. No inline styles exist in the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assets/app.js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Complete application logic: assessment rendering, event handling, scoring engine, PDF export, theme management, and (optional) AI API integration scaffolding.</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4.2 Technology Stack</w:t>
      </w:r>
    </w:p>
    <w:p>
      <w:pPr>
        <w:pStyle w:val="ListParagraph"/>
        <w:numPr>
          <w:ilvl w:val="0"/>
          <w:numId w:val="2"/>
        </w:numPr>
        <w:spacing w:after="60" w:before="60"/>
      </w:pPr>
      <w:r>
        <w:rPr>
          <w:rFonts w:ascii="Arial" w:cs="Arial" w:eastAsia="Arial" w:hAnsi="Arial"/>
          <w:b w:val="false"/>
          <w:bCs w:val="false"/>
          <w:color w:val="1F2937"/>
          <w:sz w:val="22"/>
          <w:szCs w:val="22"/>
        </w:rPr>
        <w:t xml:space="preserve">HTML5 / CSS3 / Vanilla JavaScript — No framework dependencies for core functionality.</w:t>
      </w:r>
    </w:p>
    <w:p>
      <w:pPr>
        <w:pStyle w:val="ListParagraph"/>
        <w:numPr>
          <w:ilvl w:val="0"/>
          <w:numId w:val="2"/>
        </w:numPr>
        <w:spacing w:after="60" w:before="60"/>
      </w:pPr>
      <w:r>
        <w:rPr>
          <w:rFonts w:ascii="Arial" w:cs="Arial" w:eastAsia="Arial" w:hAnsi="Arial"/>
          <w:b w:val="false"/>
          <w:bCs w:val="false"/>
          <w:color w:val="1F2937"/>
          <w:sz w:val="22"/>
          <w:szCs w:val="22"/>
        </w:rPr>
        <w:t xml:space="preserve">jsPDF (CDN) — Client-side PDF generation. Loaded from a content delivery network; no data is sent to jsPDF servers.</w:t>
      </w:r>
    </w:p>
    <w:p>
      <w:pPr>
        <w:pStyle w:val="ListParagraph"/>
        <w:numPr>
          <w:ilvl w:val="0"/>
          <w:numId w:val="2"/>
        </w:numPr>
        <w:spacing w:after="60" w:before="60"/>
      </w:pPr>
      <w:r>
        <w:rPr>
          <w:rFonts w:ascii="Arial" w:cs="Arial" w:eastAsia="Arial" w:hAnsi="Arial"/>
          <w:b w:val="false"/>
          <w:bCs w:val="false"/>
          <w:color w:val="1F2937"/>
          <w:sz w:val="22"/>
          <w:szCs w:val="22"/>
        </w:rPr>
        <w:t xml:space="preserve">Google Fonts (CDN) — Sora (headings) and Inter (body) typefaces loaded for visual polish.</w:t>
      </w:r>
    </w:p>
    <w:p>
      <w:pPr>
        <w:pStyle w:val="ListParagraph"/>
        <w:numPr>
          <w:ilvl w:val="0"/>
          <w:numId w:val="2"/>
        </w:numPr>
        <w:spacing w:after="60" w:before="60"/>
      </w:pPr>
      <w:r>
        <w:rPr>
          <w:rFonts w:ascii="Arial" w:cs="Arial" w:eastAsia="Arial" w:hAnsi="Arial"/>
          <w:b w:val="false"/>
          <w:bCs w:val="false"/>
          <w:color w:val="1F2937"/>
          <w:sz w:val="22"/>
          <w:szCs w:val="22"/>
        </w:rPr>
        <w:t xml:space="preserve">Optional: Anthropic / OpenAI-compatible API — For AI-assisted narrative generation only.</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4.3 Deployment</w:t>
      </w:r>
    </w:p>
    <w:p>
      <w:pPr>
        <w:spacing w:after="80" w:before="80"/>
      </w:pPr>
      <w:r>
        <w:rPr>
          <w:rFonts w:ascii="Arial" w:cs="Arial" w:eastAsia="Arial" w:hAnsi="Arial"/>
          <w:color w:val="1F2937"/>
          <w:sz w:val="22"/>
          <w:szCs w:val="22"/>
        </w:rPr>
        <w:t xml:space="preserve">ARIA is a static web application and requires no server-side runtime, database, or backend services. It can be deployed to any platform capable of serving static files:</w:t>
      </w:r>
    </w:p>
    <w:p>
      <w:pPr>
        <w:pStyle w:val="ListParagraph"/>
        <w:numPr>
          <w:ilvl w:val="0"/>
          <w:numId w:val="2"/>
        </w:numPr>
        <w:spacing w:after="60" w:before="60"/>
      </w:pPr>
      <w:r>
        <w:rPr>
          <w:rFonts w:ascii="Arial" w:cs="Arial" w:eastAsia="Arial" w:hAnsi="Arial"/>
          <w:b w:val="false"/>
          <w:bCs w:val="false"/>
          <w:color w:val="1F2937"/>
          <w:sz w:val="22"/>
          <w:szCs w:val="22"/>
        </w:rPr>
        <w:t xml:space="preserve">Amazon S3 with CloudFront</w:t>
      </w:r>
    </w:p>
    <w:p>
      <w:pPr>
        <w:pStyle w:val="ListParagraph"/>
        <w:numPr>
          <w:ilvl w:val="0"/>
          <w:numId w:val="2"/>
        </w:numPr>
        <w:spacing w:after="60" w:before="60"/>
      </w:pPr>
      <w:r>
        <w:rPr>
          <w:rFonts w:ascii="Arial" w:cs="Arial" w:eastAsia="Arial" w:hAnsi="Arial"/>
          <w:b w:val="false"/>
          <w:bCs w:val="false"/>
          <w:color w:val="1F2937"/>
          <w:sz w:val="22"/>
          <w:szCs w:val="22"/>
        </w:rPr>
        <w:t xml:space="preserve">GitHub Pages</w:t>
      </w:r>
    </w:p>
    <w:p>
      <w:pPr>
        <w:pStyle w:val="ListParagraph"/>
        <w:numPr>
          <w:ilvl w:val="0"/>
          <w:numId w:val="2"/>
        </w:numPr>
        <w:spacing w:after="60" w:before="60"/>
      </w:pPr>
      <w:r>
        <w:rPr>
          <w:rFonts w:ascii="Arial" w:cs="Arial" w:eastAsia="Arial" w:hAnsi="Arial"/>
          <w:b w:val="false"/>
          <w:bCs w:val="false"/>
          <w:color w:val="1F2937"/>
          <w:sz w:val="22"/>
          <w:szCs w:val="22"/>
        </w:rPr>
        <w:t xml:space="preserve">Netlify / Vercel</w:t>
      </w:r>
    </w:p>
    <w:p>
      <w:pPr>
        <w:pStyle w:val="ListParagraph"/>
        <w:numPr>
          <w:ilvl w:val="0"/>
          <w:numId w:val="2"/>
        </w:numPr>
        <w:spacing w:after="60" w:before="60"/>
      </w:pPr>
      <w:r>
        <w:rPr>
          <w:rFonts w:ascii="Arial" w:cs="Arial" w:eastAsia="Arial" w:hAnsi="Arial"/>
          <w:b w:val="false"/>
          <w:bCs w:val="false"/>
          <w:color w:val="1F2937"/>
          <w:sz w:val="22"/>
          <w:szCs w:val="22"/>
        </w:rPr>
        <w:t xml:space="preserve">Azure Static Web Apps</w:t>
      </w:r>
    </w:p>
    <w:p>
      <w:pPr>
        <w:pStyle w:val="ListParagraph"/>
        <w:numPr>
          <w:ilvl w:val="0"/>
          <w:numId w:val="2"/>
        </w:numPr>
        <w:spacing w:after="60" w:before="60"/>
      </w:pPr>
      <w:r>
        <w:rPr>
          <w:rFonts w:ascii="Arial" w:cs="Arial" w:eastAsia="Arial" w:hAnsi="Arial"/>
          <w:b w:val="false"/>
          <w:bCs w:val="false"/>
          <w:color w:val="1F2937"/>
          <w:sz w:val="22"/>
          <w:szCs w:val="22"/>
        </w:rPr>
        <w:t xml:space="preserve">Any corporate intranet web server</w:t>
      </w:r>
    </w:p>
    <w:p>
      <w:pPr>
        <w:spacing w:after="80" w:before="80"/>
      </w:pPr>
      <w:r>
        <w:t xml:space="preserve"/>
      </w:r>
    </w:p>
    <w:p>
      <w:pPr>
        <w:spacing w:after="80" w:before="80"/>
      </w:pPr>
      <w:r>
        <w:rPr>
          <w:rFonts w:ascii="Arial" w:cs="Arial" w:eastAsia="Arial" w:hAnsi="Arial"/>
          <w:color w:val="1F2937"/>
          <w:sz w:val="22"/>
          <w:szCs w:val="22"/>
        </w:rPr>
        <w:t xml:space="preserve">Once loaded in the browser, ARIA operates fully offline. Users in air-gapped or restricted network environments can download the files and open them directly from the local filesystem.</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5. Scoring Methodology</w:t>
      </w:r>
    </w:p>
    <w:p>
      <w:pPr>
        <w:pStyle w:val="Heading2"/>
        <w:spacing w:after="100" w:before="280"/>
      </w:pPr>
      <w:r>
        <w:rPr>
          <w:rFonts w:ascii="Arial" w:cs="Arial" w:eastAsia="Arial" w:hAnsi="Arial"/>
          <w:b/>
          <w:bCs/>
          <w:color w:val="2563EB"/>
          <w:sz w:val="26"/>
          <w:szCs w:val="26"/>
        </w:rPr>
        <w:t xml:space="preserve">5.1 Three-Layer Risk Model</w:t>
      </w:r>
    </w:p>
    <w:p>
      <w:pPr>
        <w:spacing w:after="80" w:before="80"/>
      </w:pPr>
      <w:r>
        <w:rPr>
          <w:rFonts w:ascii="Arial" w:cs="Arial" w:eastAsia="Arial" w:hAnsi="Arial"/>
          <w:color w:val="1F2937"/>
          <w:sz w:val="22"/>
          <w:szCs w:val="22"/>
        </w:rPr>
        <w:t xml:space="preserve">ARIA employs a rigorous three-layer scoring architecture that mirrors established enterprise risk management frameworks (ISO 31000, COSO ERM):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color w:val="1F2937"/>
                <w:sz w:val="20"/>
                <w:szCs w:val="20"/>
              </w:rPr>
              <w:t xml:space="preserve">1</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Inherent Risk</w:t>
            </w:r>
          </w:p>
        </w:tc>
        <w:tc>
          <w:tcPr>
            <w:tcW w:type="dxa" w:w="5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color w:val="1F2937"/>
                <w:sz w:val="20"/>
                <w:szCs w:val="20"/>
              </w:rPr>
              <w:t xml:space="preserve">The baseline level of risk posed by the AI system based on its intended use case, data inputs, and operational context — assessed before any safeguards or controls are considered.</w:t>
            </w:r>
          </w:p>
        </w:tc>
      </w:tr>
      <w:tr>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F2937"/>
                <w:sz w:val="20"/>
                <w:szCs w:val="20"/>
              </w:rPr>
              <w:t xml:space="preserve">2</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065F46"/>
                <w:sz w:val="20"/>
                <w:szCs w:val="20"/>
              </w:rPr>
              <w:t xml:space="preserve">Control Effectiveness</w:t>
            </w:r>
          </w:p>
        </w:tc>
        <w:tc>
          <w:tcPr>
            <w:tcW w:type="dxa" w:w="5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color w:val="1F2937"/>
                <w:sz w:val="20"/>
                <w:szCs w:val="20"/>
              </w:rPr>
              <w:t xml:space="preserve">The maturity, coverage, and reliability of existing safeguards, policies, and technical controls in place to mitigate the identified inherent risks.</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1F2937"/>
                <w:sz w:val="20"/>
                <w:szCs w:val="20"/>
              </w:rPr>
              <w:t xml:space="preserve">3</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Residual Risk &amp; Compliance</w:t>
            </w:r>
          </w:p>
        </w:tc>
        <w:tc>
          <w:tcPr>
            <w:tcW w:type="dxa" w:w="5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color w:val="1F2937"/>
                <w:sz w:val="20"/>
                <w:szCs w:val="20"/>
              </w:rPr>
              <w:t xml:space="preserve">The remaining risk exposure after controls are applied, combined with a compliance assessment measuring the degree to which regulatory and policy requirements are satisfied.</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5.2 Scoring Formulas</w:t>
      </w:r>
    </w:p>
    <w:p>
      <w:pPr>
        <w:spacing w:after="80" w:before="80"/>
      </w:pPr>
      <w:r>
        <w:rPr>
          <w:rFonts w:ascii="Arial" w:cs="Arial" w:eastAsia="Arial" w:hAnsi="Arial"/>
          <w:color w:val="1F2937"/>
          <w:sz w:val="22"/>
          <w:szCs w:val="22"/>
        </w:rPr>
        <w:t xml:space="preserve">The two core calculations that underpin ARIA's output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color w:val="1F2937"/>
                <w:sz w:val="20"/>
                <w:szCs w:val="20"/>
              </w:rPr>
              <w:t xml:space="preserve">Residual Risk Score</w:t>
            </w:r>
          </w:p>
        </w:tc>
        <w:tc>
          <w:tcPr>
            <w:tcW w:type="dxa" w:w="5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Residual Risk  =  Inherent Risk × (1 − Control Effectiveness)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Compliance Score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Compliance Score  =  Σ (Requirement Weight × Control Pass Rate)</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5.3 Metric Scale</w:t>
      </w:r>
    </w:p>
    <w:p>
      <w:pPr>
        <w:spacing w:after="80" w:before="80"/>
      </w:pPr>
      <w:r>
        <w:rPr>
          <w:rFonts w:ascii="Arial" w:cs="Arial" w:eastAsia="Arial" w:hAnsi="Arial"/>
          <w:color w:val="1F2937"/>
          <w:sz w:val="22"/>
          <w:szCs w:val="22"/>
        </w:rPr>
        <w:t xml:space="preserve">All inputs are scored on a 1–5 integer scale for both Inherent Risk and Control Effectiveness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color w:val="1F2937"/>
                <w:sz w:val="20"/>
                <w:szCs w:val="20"/>
              </w:rPr>
              <w:t xml:space="preserve">1</w:t>
            </w:r>
          </w:p>
        </w:tc>
        <w:tc>
          <w:tcPr>
            <w:tcW w:type="dxa" w:w="2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color w:val="1F2937"/>
                <w:sz w:val="20"/>
                <w:szCs w:val="20"/>
              </w:rPr>
              <w:t xml:space="preserve">Minimal</w:t>
            </w:r>
          </w:p>
        </w:tc>
        <w:tc>
          <w:tcPr>
            <w:tcW w:type="dxa" w:w="57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color w:val="1F2937"/>
                <w:sz w:val="20"/>
                <w:szCs w:val="20"/>
              </w:rPr>
              <w:t xml:space="preserve">Low risk / Strong and mature controls / Fully compliant</w:t>
            </w:r>
          </w:p>
        </w:tc>
      </w:tr>
      <w:tr>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color w:val="1F2937"/>
                <w:sz w:val="20"/>
                <w:szCs w:val="20"/>
              </w:rPr>
              <w:t xml:space="preserve">2</w:t>
            </w:r>
          </w:p>
        </w:tc>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color w:val="1F2937"/>
                <w:sz w:val="20"/>
                <w:szCs w:val="20"/>
              </w:rPr>
              <w:t xml:space="preserve">Low</w:t>
            </w:r>
          </w:p>
        </w:tc>
        <w:tc>
          <w:tcPr>
            <w:tcW w:type="dxa" w:w="57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color w:val="1F2937"/>
                <w:sz w:val="20"/>
                <w:szCs w:val="20"/>
              </w:rPr>
              <w:t xml:space="preserve">Below-average risk / Largely effective controls / Mostly compliant</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1F2937"/>
                <w:sz w:val="20"/>
                <w:szCs w:val="20"/>
              </w:rPr>
              <w:t xml:space="preserve">3</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color w:val="1F2937"/>
                <w:sz w:val="20"/>
                <w:szCs w:val="20"/>
              </w:rPr>
              <w:t xml:space="preserve">Moderate</w:t>
            </w:r>
          </w:p>
        </w:tc>
        <w:tc>
          <w:tcPr>
            <w:tcW w:type="dxa" w:w="5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color w:val="1F2937"/>
                <w:sz w:val="20"/>
                <w:szCs w:val="20"/>
              </w:rPr>
              <w:t xml:space="preserve">Medium risk / Partially effective controls / Partially compliant</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1F2937"/>
                <w:sz w:val="20"/>
                <w:szCs w:val="20"/>
              </w:rPr>
              <w:t xml:space="preserve">4</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High</w:t>
            </w:r>
          </w:p>
        </w:tc>
        <w:tc>
          <w:tcPr>
            <w:tcW w:type="dxa" w:w="57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Above-average risk / Weak or inconsistent controls / Significant gaps</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1F2937"/>
                <w:sz w:val="20"/>
                <w:szCs w:val="20"/>
              </w:rPr>
              <w:t xml:space="preserve">5</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Critical</w:t>
            </w:r>
          </w:p>
        </w:tc>
        <w:tc>
          <w:tcPr>
            <w:tcW w:type="dxa" w:w="57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High risk / Absent or ineffective controls / Non-compliant</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5.4 Decision Thresholds</w:t>
      </w:r>
    </w:p>
    <w:p>
      <w:pPr>
        <w:spacing w:after="80" w:before="80"/>
      </w:pPr>
      <w:r>
        <w:rPr>
          <w:rFonts w:ascii="Arial" w:cs="Arial" w:eastAsia="Arial" w:hAnsi="Arial"/>
          <w:color w:val="1F2937"/>
          <w:sz w:val="22"/>
          <w:szCs w:val="22"/>
        </w:rPr>
        <w:t xml:space="preserve">The aggregated Residual Risk Score (0–100 normalised scale) maps to one of four governance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 Range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color w:val="1F2937"/>
                <w:sz w:val="20"/>
                <w:szCs w:val="20"/>
              </w:rPr>
              <w:t xml:space="preserve">0 – 25</w:t>
            </w:r>
          </w:p>
        </w:tc>
        <w:tc>
          <w:tcPr>
            <w:tcW w:type="dxa" w:w="2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1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left"/>
            </w:pPr>
            <w:r>
              <w:rPr>
                <w:rFonts w:ascii="Arial" w:cs="Arial" w:eastAsia="Arial" w:hAnsi="Arial"/>
                <w:color w:val="1F2937"/>
                <w:sz w:val="20"/>
                <w:szCs w:val="20"/>
              </w:rPr>
              <w:t xml:space="preserve">Approve for deployment. Document rationale.</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1F2937"/>
                <w:sz w:val="20"/>
                <w:szCs w:val="20"/>
              </w:rPr>
              <w:t xml:space="preserve">26 – 50</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Moderate</w:t>
            </w:r>
          </w:p>
        </w:tc>
        <w:tc>
          <w:tcPr>
            <w:tcW w:type="dxa" w:w="5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color w:val="1F2937"/>
                <w:sz w:val="20"/>
                <w:szCs w:val="20"/>
              </w:rPr>
              <w:t xml:space="preserve">Approve with documented compensating controls and monitoring plan.</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1F2937"/>
                <w:sz w:val="20"/>
                <w:szCs w:val="20"/>
              </w:rPr>
              <w:t xml:space="preserve">51 – 75</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Remediation required. Do not deploy until identified gaps are resolved and reassessed.</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1F2937"/>
                <w:sz w:val="20"/>
                <w:szCs w:val="20"/>
              </w:rPr>
              <w:t xml:space="preserve">76 – 100</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Critical</w:t>
            </w:r>
          </w:p>
        </w:tc>
        <w:tc>
          <w:tcPr>
            <w:tcW w:type="dxa" w:w="5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1F2937"/>
                <w:sz w:val="20"/>
                <w:szCs w:val="20"/>
              </w:rPr>
              <w:t xml:space="preserve">Reject or fundamentally redesign. Escalate to senior governance for review.</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6. Assessment Domains &amp; Weights</w:t>
      </w:r>
    </w:p>
    <w:p>
      <w:pPr>
        <w:spacing w:after="80" w:before="80"/>
      </w:pPr>
      <w:r>
        <w:rPr>
          <w:rFonts w:ascii="Arial" w:cs="Arial" w:eastAsia="Arial" w:hAnsi="Arial"/>
          <w:color w:val="1F2937"/>
          <w:sz w:val="22"/>
          <w:szCs w:val="22"/>
        </w:rPr>
        <w:t xml:space="preserve">ARIA evaluates AI systems across eight structured domains. Each domain carries a defined weighting that reflects its relative importance to the overall risk profile. Weights are configurable by administrators to match organisational governance priorities.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Default Weight</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 Area</w:t>
            </w:r>
          </w:p>
        </w:tc>
      </w:tr>
      <w:tr>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1</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Use-Case Criticality</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15%</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Assesses the operational importance and potential impact of failure for the specific AI application.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Data Governance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Evaluates data quality, lineage, consent, classification, and retention practices.</w:t>
            </w:r>
          </w:p>
        </w:tc>
      </w:tr>
      <w:tr>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3</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Model Performance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15%</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Reviews accuracy, robustness, drift monitoring, and validation methodology.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Fairness &amp; Ethics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Examines bias detection, demographic parity, explainability, and ethical guardrails.</w:t>
            </w:r>
          </w:p>
        </w:tc>
      </w:tr>
      <w:tr>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5</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Security</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20%</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Assesses vulnerability exposure, adversarial robustness, access controls, and incident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Compliance &amp; Governance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Checks alignment with applicable regulations (GDPR, EU AI Act, sector-specific) and internal policies.</w:t>
            </w:r>
          </w:p>
        </w:tc>
      </w:tr>
      <w:tr>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7</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Monitoring &amp; Operations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10%</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Reviews ongoing observability, alerting, human-in-the-loop provisions, and operational runbooks.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Third-Party &amp; Supply 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Configurable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Evaluates dependencies on external models, APIs, data vendors, and open-source components.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before="0"/>
            </w:pPr>
            <w:r>
              <w:rPr>
                <w:rFonts w:ascii="Arial" w:cs="Arial" w:eastAsia="Arial" w:hAnsi="Arial"/>
                <w:b/>
                <w:bCs/>
                <w:color w:val="1E3A5F"/>
                <w:sz w:val="21"/>
                <w:szCs w:val="21"/>
              </w:rPr>
              <w:t xml:space="preserve">Customisation Note:  </w:t>
            </w:r>
            <w:r>
              <w:rPr>
                <w:rFonts w:ascii="Arial" w:cs="Arial" w:eastAsia="Arial" w:hAnsi="Arial"/>
                <w:color w:val="374151"/>
                <w:sz w:val="21"/>
                <w:szCs w:val="21"/>
              </w:rPr>
              <w:t xml:space="preserve">Domain weights can be adjusted in assets/app.js within the weights object of the computeLocalScores() function. Ensure weights always sum to 100% after any modification.</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7. User Guide</w:t>
      </w:r>
    </w:p>
    <w:p>
      <w:pPr>
        <w:pStyle w:val="Heading2"/>
        <w:spacing w:after="100" w:before="280"/>
      </w:pPr>
      <w:r>
        <w:rPr>
          <w:rFonts w:ascii="Arial" w:cs="Arial" w:eastAsia="Arial" w:hAnsi="Arial"/>
          <w:b/>
          <w:bCs/>
          <w:color w:val="2563EB"/>
          <w:sz w:val="26"/>
          <w:szCs w:val="26"/>
        </w:rPr>
        <w:t xml:space="preserve">7.1 Getting Started</w:t>
      </w:r>
    </w:p>
    <w:p>
      <w:pPr>
        <w:spacing w:after="80" w:before="80"/>
      </w:pPr>
      <w:r>
        <w:rPr>
          <w:rFonts w:ascii="Arial" w:cs="Arial" w:eastAsia="Arial" w:hAnsi="Arial"/>
          <w:color w:val="1F2937"/>
          <w:sz w:val="22"/>
          <w:szCs w:val="22"/>
        </w:rPr>
        <w:t xml:space="preserve">To launch ARIA, open the file ai-assessment-framework.html in any supported web browser. No installation, registration, or internet connection is required after the initial page load.</w:t>
      </w:r>
    </w:p>
    <w:p>
      <w:pPr>
        <w:spacing w:after="80" w:before="80"/>
      </w:pPr>
      <w:r>
        <w:t xml:space="preserve"/>
      </w:r>
    </w:p>
    <w:p>
      <w:pPr>
        <w:spacing w:after="80" w:before="80"/>
      </w:pPr>
      <w:r>
        <w:rPr>
          <w:rFonts w:ascii="Arial" w:cs="Arial" w:eastAsia="Arial" w:hAnsi="Arial"/>
          <w:color w:val="1F2937"/>
          <w:sz w:val="22"/>
          <w:szCs w:val="22"/>
        </w:rPr>
        <w:t xml:space="preserve">Windows users: Right-click the file and select Open With, then choose your preferred browser. Alternatively, drag the file into an open browser window.</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7.2 Step-by-Step Assessment Workflow</w:t>
      </w:r>
    </w:p>
    <w:p>
      <w:pPr>
        <w:pStyle w:val="Heading3"/>
        <w:spacing w:after="80" w:before="200"/>
      </w:pPr>
      <w:r>
        <w:rPr>
          <w:rFonts w:ascii="Arial" w:cs="Arial" w:eastAsia="Arial" w:hAnsi="Arial"/>
          <w:b/>
          <w:bCs/>
          <w:color w:val="374151"/>
          <w:sz w:val="22"/>
          <w:szCs w:val="22"/>
        </w:rPr>
        <w:t xml:space="preserve">Step 1 — Application Profile</w:t>
      </w:r>
    </w:p>
    <w:p>
      <w:pPr>
        <w:spacing w:after="80" w:before="80"/>
      </w:pPr>
      <w:r>
        <w:rPr>
          <w:rFonts w:ascii="Arial" w:cs="Arial" w:eastAsia="Arial" w:hAnsi="Arial"/>
          <w:color w:val="1F2937"/>
          <w:sz w:val="22"/>
          <w:szCs w:val="22"/>
        </w:rPr>
        <w:t xml:space="preserve">Complete the application profile to establish the assessment boundary. This context is embedded into the final PDF report and informs the scoring engine. Required fields include:</w:t>
      </w:r>
    </w:p>
    <w:p>
      <w:pPr>
        <w:pStyle w:val="ListParagraph"/>
        <w:numPr>
          <w:ilvl w:val="0"/>
          <w:numId w:val="2"/>
        </w:numPr>
        <w:spacing w:after="60" w:before="60"/>
      </w:pPr>
      <w:r>
        <w:rPr>
          <w:rFonts w:ascii="Arial" w:cs="Arial" w:eastAsia="Arial" w:hAnsi="Arial"/>
          <w:b w:val="false"/>
          <w:bCs w:val="false"/>
          <w:color w:val="1F2937"/>
          <w:sz w:val="22"/>
          <w:szCs w:val="22"/>
        </w:rPr>
        <w:t xml:space="preserve">Application / system name</w:t>
      </w:r>
    </w:p>
    <w:p>
      <w:pPr>
        <w:pStyle w:val="ListParagraph"/>
        <w:numPr>
          <w:ilvl w:val="0"/>
          <w:numId w:val="2"/>
        </w:numPr>
        <w:spacing w:after="60" w:before="60"/>
      </w:pPr>
      <w:r>
        <w:rPr>
          <w:rFonts w:ascii="Arial" w:cs="Arial" w:eastAsia="Arial" w:hAnsi="Arial"/>
          <w:b w:val="false"/>
          <w:bCs w:val="false"/>
          <w:color w:val="1F2937"/>
          <w:sz w:val="22"/>
          <w:szCs w:val="22"/>
        </w:rPr>
        <w:t xml:space="preserve">AI model type (e.g., generative, predictive, classification, computer vision)</w:t>
      </w:r>
    </w:p>
    <w:p>
      <w:pPr>
        <w:pStyle w:val="ListParagraph"/>
        <w:numPr>
          <w:ilvl w:val="0"/>
          <w:numId w:val="2"/>
        </w:numPr>
        <w:spacing w:after="60" w:before="60"/>
      </w:pPr>
      <w:r>
        <w:rPr>
          <w:rFonts w:ascii="Arial" w:cs="Arial" w:eastAsia="Arial" w:hAnsi="Arial"/>
          <w:b w:val="false"/>
          <w:bCs w:val="false"/>
          <w:color w:val="1F2937"/>
          <w:sz w:val="22"/>
          <w:szCs w:val="22"/>
        </w:rPr>
        <w:t xml:space="preserve">Deployment environment (cloud, on-premise, hybrid, edge)</w:t>
      </w:r>
    </w:p>
    <w:p>
      <w:pPr>
        <w:pStyle w:val="ListParagraph"/>
        <w:numPr>
          <w:ilvl w:val="0"/>
          <w:numId w:val="2"/>
        </w:numPr>
        <w:spacing w:after="60" w:before="60"/>
      </w:pPr>
      <w:r>
        <w:rPr>
          <w:rFonts w:ascii="Arial" w:cs="Arial" w:eastAsia="Arial" w:hAnsi="Arial"/>
          <w:b w:val="false"/>
          <w:bCs w:val="false"/>
          <w:color w:val="1F2937"/>
          <w:sz w:val="22"/>
          <w:szCs w:val="22"/>
        </w:rPr>
        <w:t xml:space="preserve">Applicable jurisdiction(s)</w:t>
      </w:r>
    </w:p>
    <w:p>
      <w:pPr>
        <w:pStyle w:val="ListParagraph"/>
        <w:numPr>
          <w:ilvl w:val="0"/>
          <w:numId w:val="2"/>
        </w:numPr>
        <w:spacing w:after="60" w:before="60"/>
      </w:pPr>
      <w:r>
        <w:rPr>
          <w:rFonts w:ascii="Arial" w:cs="Arial" w:eastAsia="Arial" w:hAnsi="Arial"/>
          <w:b w:val="false"/>
          <w:bCs w:val="false"/>
          <w:color w:val="1F2937"/>
          <w:sz w:val="22"/>
          <w:szCs w:val="22"/>
        </w:rPr>
        <w:t xml:space="preserve">Estimated user population and operational scale</w:t>
      </w:r>
    </w:p>
    <w:p>
      <w:pPr>
        <w:pStyle w:val="ListParagraph"/>
        <w:numPr>
          <w:ilvl w:val="0"/>
          <w:numId w:val="2"/>
        </w:numPr>
        <w:spacing w:after="60" w:before="60"/>
      </w:pPr>
      <w:r>
        <w:rPr>
          <w:rFonts w:ascii="Arial" w:cs="Arial" w:eastAsia="Arial" w:hAnsi="Arial"/>
          <w:b w:val="false"/>
          <w:bCs w:val="false"/>
          <w:color w:val="1F2937"/>
          <w:sz w:val="22"/>
          <w:szCs w:val="22"/>
        </w:rPr>
        <w:t xml:space="preserve">Current development / deployment phase (POC, pilot, production)</w:t>
      </w:r>
    </w:p>
    <w:p>
      <w:pPr>
        <w:spacing w:after="80" w:before="80"/>
      </w:pPr>
      <w:r>
        <w:t xml:space="preserve"/>
      </w:r>
    </w:p>
    <w:p>
      <w:pPr>
        <w:pStyle w:val="Heading3"/>
        <w:spacing w:after="80" w:before="200"/>
      </w:pPr>
      <w:r>
        <w:rPr>
          <w:rFonts w:ascii="Arial" w:cs="Arial" w:eastAsia="Arial" w:hAnsi="Arial"/>
          <w:b/>
          <w:bCs/>
          <w:color w:val="374151"/>
          <w:sz w:val="22"/>
          <w:szCs w:val="22"/>
        </w:rPr>
        <w:t xml:space="preserve">Step 2 — Domain Assessment Questions</w:t>
      </w:r>
    </w:p>
    <w:p>
      <w:pPr>
        <w:spacing w:after="80" w:before="80"/>
      </w:pPr>
      <w:r>
        <w:rPr>
          <w:rFonts w:ascii="Arial" w:cs="Arial" w:eastAsia="Arial" w:hAnsi="Arial"/>
          <w:color w:val="1F2937"/>
          <w:sz w:val="22"/>
          <w:szCs w:val="22"/>
        </w:rPr>
        <w:t xml:space="preserve">Work through each of the eight assessment domains. Questions are presented as:</w:t>
      </w:r>
    </w:p>
    <w:p>
      <w:pPr>
        <w:pStyle w:val="ListParagraph"/>
        <w:numPr>
          <w:ilvl w:val="0"/>
          <w:numId w:val="2"/>
        </w:numPr>
        <w:spacing w:after="60" w:before="60"/>
      </w:pPr>
      <w:r>
        <w:rPr>
          <w:rFonts w:ascii="Arial" w:cs="Arial" w:eastAsia="Arial" w:hAnsi="Arial"/>
          <w:b w:val="false"/>
          <w:bCs w:val="false"/>
          <w:color w:val="1F2937"/>
          <w:sz w:val="22"/>
          <w:szCs w:val="22"/>
        </w:rPr>
        <w:t xml:space="preserve">Multiple-choice questions (MCQs) — Single selection. Click or tap the desired option card. Keyboard users may use Enter or Space on a focused option.</w:t>
      </w:r>
    </w:p>
    <w:p>
      <w:pPr>
        <w:pStyle w:val="ListParagraph"/>
        <w:numPr>
          <w:ilvl w:val="0"/>
          <w:numId w:val="2"/>
        </w:numPr>
        <w:spacing w:after="60" w:before="60"/>
      </w:pPr>
      <w:r>
        <w:rPr>
          <w:rFonts w:ascii="Arial" w:cs="Arial" w:eastAsia="Arial" w:hAnsi="Arial"/>
          <w:b w:val="false"/>
          <w:bCs w:val="false"/>
          <w:color w:val="1F2937"/>
          <w:sz w:val="22"/>
          <w:szCs w:val="22"/>
        </w:rPr>
        <w:t xml:space="preserve">Checklists (multi-select) — Click to toggle individual items on or off. Multiple selections are permitted and encouraged where applicable.</w:t>
      </w:r>
    </w:p>
    <w:p>
      <w:pPr>
        <w:pStyle w:val="ListParagraph"/>
        <w:numPr>
          <w:ilvl w:val="0"/>
          <w:numId w:val="2"/>
        </w:numPr>
        <w:spacing w:after="60" w:before="60"/>
      </w:pPr>
      <w:r>
        <w:rPr>
          <w:rFonts w:ascii="Arial" w:cs="Arial" w:eastAsia="Arial" w:hAnsi="Arial"/>
          <w:b w:val="false"/>
          <w:bCs w:val="false"/>
          <w:color w:val="1F2937"/>
          <w:sz w:val="22"/>
          <w:szCs w:val="22"/>
        </w:rPr>
        <w:t xml:space="preserve">Sliders / numeric inputs — Provide quantitative inputs for specific scoring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before="0"/>
            </w:pPr>
            <w:r>
              <w:rPr>
                <w:rFonts w:ascii="Arial" w:cs="Arial" w:eastAsia="Arial" w:hAnsi="Arial"/>
                <w:b/>
                <w:bCs/>
                <w:color w:val="1E3A5F"/>
                <w:sz w:val="21"/>
                <w:szCs w:val="21"/>
              </w:rPr>
              <w:t xml:space="preserve">Tip:  </w:t>
            </w:r>
            <w:r>
              <w:rPr>
                <w:rFonts w:ascii="Arial" w:cs="Arial" w:eastAsia="Arial" w:hAnsi="Arial"/>
                <w:color w:val="374151"/>
                <w:sz w:val="21"/>
                <w:szCs w:val="21"/>
              </w:rPr>
              <w:t xml:space="preserve">Answer all questions based on the current state of controls and maturity — not aspirational future states. ARIA scores what exists today.</w:t>
            </w:r>
          </w:p>
        </w:tc>
      </w:tr>
    </w:tbl>
    <w:p>
      <w:pPr>
        <w:spacing w:after="80" w:before="80"/>
      </w:pPr>
      <w:r>
        <w:t xml:space="preserve"/>
      </w:r>
    </w:p>
    <w:p>
      <w:pPr>
        <w:pStyle w:val="Heading3"/>
        <w:spacing w:after="80" w:before="200"/>
      </w:pPr>
      <w:r>
        <w:rPr>
          <w:rFonts w:ascii="Arial" w:cs="Arial" w:eastAsia="Arial" w:hAnsi="Arial"/>
          <w:b/>
          <w:bCs/>
          <w:color w:val="374151"/>
          <w:sz w:val="22"/>
          <w:szCs w:val="22"/>
        </w:rPr>
        <w:t xml:space="preserve">Step 3 — Run Assessment</w:t>
      </w:r>
    </w:p>
    <w:p>
      <w:pPr>
        <w:spacing w:after="80" w:before="80"/>
      </w:pPr>
      <w:r>
        <w:rPr>
          <w:rFonts w:ascii="Arial" w:cs="Arial" w:eastAsia="Arial" w:hAnsi="Arial"/>
          <w:color w:val="1F2937"/>
          <w:sz w:val="22"/>
          <w:szCs w:val="22"/>
        </w:rPr>
        <w:t xml:space="preserve">Once all domain questions have been completed, click the Run Assessment button. The scoring engine will:</w:t>
      </w:r>
    </w:p>
    <w:p>
      <w:pPr>
        <w:pStyle w:val="ListParagraph"/>
        <w:numPr>
          <w:ilvl w:val="0"/>
          <w:numId w:val="2"/>
        </w:numPr>
        <w:spacing w:after="60" w:before="60"/>
      </w:pPr>
      <w:r>
        <w:rPr>
          <w:rFonts w:ascii="Arial" w:cs="Arial" w:eastAsia="Arial" w:hAnsi="Arial"/>
          <w:b w:val="false"/>
          <w:bCs w:val="false"/>
          <w:color w:val="1F2937"/>
          <w:sz w:val="22"/>
          <w:szCs w:val="22"/>
        </w:rPr>
        <w:t xml:space="preserve">Compute domain-level scores using the three-layer model.</w:t>
      </w:r>
    </w:p>
    <w:p>
      <w:pPr>
        <w:pStyle w:val="ListParagraph"/>
        <w:numPr>
          <w:ilvl w:val="0"/>
          <w:numId w:val="2"/>
        </w:numPr>
        <w:spacing w:after="60" w:before="60"/>
      </w:pPr>
      <w:r>
        <w:rPr>
          <w:rFonts w:ascii="Arial" w:cs="Arial" w:eastAsia="Arial" w:hAnsi="Arial"/>
          <w:b w:val="false"/>
          <w:bCs w:val="false"/>
          <w:color w:val="1F2937"/>
          <w:sz w:val="22"/>
          <w:szCs w:val="22"/>
        </w:rPr>
        <w:t xml:space="preserve">Apply domain weightings to derive the aggregated residual risk score.</w:t>
      </w:r>
    </w:p>
    <w:p>
      <w:pPr>
        <w:pStyle w:val="ListParagraph"/>
        <w:numPr>
          <w:ilvl w:val="0"/>
          <w:numId w:val="2"/>
        </w:numPr>
        <w:spacing w:after="60" w:before="60"/>
      </w:pPr>
      <w:r>
        <w:rPr>
          <w:rFonts w:ascii="Arial" w:cs="Arial" w:eastAsia="Arial" w:hAnsi="Arial"/>
          <w:b w:val="false"/>
          <w:bCs w:val="false"/>
          <w:color w:val="1F2937"/>
          <w:sz w:val="22"/>
          <w:szCs w:val="22"/>
        </w:rPr>
        <w:t xml:space="preserve">Map the score to the appropriate decision threshold.</w:t>
      </w:r>
    </w:p>
    <w:p>
      <w:pPr>
        <w:pStyle w:val="ListParagraph"/>
        <w:numPr>
          <w:ilvl w:val="0"/>
          <w:numId w:val="2"/>
        </w:numPr>
        <w:spacing w:after="60" w:before="60"/>
      </w:pPr>
      <w:r>
        <w:rPr>
          <w:rFonts w:ascii="Arial" w:cs="Arial" w:eastAsia="Arial" w:hAnsi="Arial"/>
          <w:b w:val="false"/>
          <w:bCs w:val="false"/>
          <w:color w:val="1F2937"/>
          <w:sz w:val="22"/>
          <w:szCs w:val="22"/>
        </w:rPr>
        <w:t xml:space="preserve">Generate narrative findings, strengths, compliance gaps, and prioritised recommendations.</w:t>
      </w:r>
    </w:p>
    <w:p>
      <w:pPr>
        <w:spacing w:after="80" w:before="80"/>
      </w:pPr>
      <w:r>
        <w:t xml:space="preserve"/>
      </w:r>
    </w:p>
    <w:p>
      <w:pPr>
        <w:pStyle w:val="Heading3"/>
        <w:spacing w:after="80" w:before="200"/>
      </w:pPr>
      <w:r>
        <w:rPr>
          <w:rFonts w:ascii="Arial" w:cs="Arial" w:eastAsia="Arial" w:hAnsi="Arial"/>
          <w:b/>
          <w:bCs/>
          <w:color w:val="374151"/>
          <w:sz w:val="22"/>
          <w:szCs w:val="22"/>
        </w:rPr>
        <w:t xml:space="preserve">Step 4 — Review Results</w:t>
      </w:r>
    </w:p>
    <w:p>
      <w:pPr>
        <w:spacing w:after="80" w:before="80"/>
      </w:pPr>
      <w:r>
        <w:rPr>
          <w:rFonts w:ascii="Arial" w:cs="Arial" w:eastAsia="Arial" w:hAnsi="Arial"/>
          <w:color w:val="1F2937"/>
          <w:sz w:val="22"/>
          <w:szCs w:val="22"/>
        </w:rPr>
        <w:t xml:space="preserve">The results dashboard presents:</w:t>
      </w:r>
    </w:p>
    <w:p>
      <w:pPr>
        <w:pStyle w:val="ListParagraph"/>
        <w:numPr>
          <w:ilvl w:val="0"/>
          <w:numId w:val="2"/>
        </w:numPr>
        <w:spacing w:after="60" w:before="60"/>
      </w:pPr>
      <w:r>
        <w:rPr>
          <w:rFonts w:ascii="Arial" w:cs="Arial" w:eastAsia="Arial" w:hAnsi="Arial"/>
          <w:b w:val="false"/>
          <w:bCs w:val="false"/>
          <w:color w:val="1F2937"/>
          <w:sz w:val="22"/>
          <w:szCs w:val="22"/>
        </w:rPr>
        <w:t xml:space="preserve">Risk Gauge — Visual representation of the overall residual risk score.</w:t>
      </w:r>
    </w:p>
    <w:p>
      <w:pPr>
        <w:pStyle w:val="ListParagraph"/>
        <w:numPr>
          <w:ilvl w:val="0"/>
          <w:numId w:val="2"/>
        </w:numPr>
        <w:spacing w:after="60" w:before="60"/>
      </w:pPr>
      <w:r>
        <w:rPr>
          <w:rFonts w:ascii="Arial" w:cs="Arial" w:eastAsia="Arial" w:hAnsi="Arial"/>
          <w:b w:val="false"/>
          <w:bCs w:val="false"/>
          <w:color w:val="1F2937"/>
          <w:sz w:val="22"/>
          <w:szCs w:val="22"/>
        </w:rPr>
        <w:t xml:space="preserve">Risk Strip — Colour-coded band indicating the decision threshold category.</w:t>
      </w:r>
    </w:p>
    <w:p>
      <w:pPr>
        <w:pStyle w:val="ListParagraph"/>
        <w:numPr>
          <w:ilvl w:val="0"/>
          <w:numId w:val="2"/>
        </w:numPr>
        <w:spacing w:after="60" w:before="60"/>
      </w:pPr>
      <w:r>
        <w:rPr>
          <w:rFonts w:ascii="Arial" w:cs="Arial" w:eastAsia="Arial" w:hAnsi="Arial"/>
          <w:b w:val="false"/>
          <w:bCs w:val="false"/>
          <w:color w:val="1F2937"/>
          <w:sz w:val="22"/>
          <w:szCs w:val="22"/>
        </w:rPr>
        <w:t xml:space="preserve">Domain Dashboard — Normalised domain scores displayed alongside their respective weights.</w:t>
      </w:r>
    </w:p>
    <w:p>
      <w:pPr>
        <w:pStyle w:val="ListParagraph"/>
        <w:numPr>
          <w:ilvl w:val="0"/>
          <w:numId w:val="2"/>
        </w:numPr>
        <w:spacing w:after="60" w:before="60"/>
      </w:pPr>
      <w:r>
        <w:rPr>
          <w:rFonts w:ascii="Arial" w:cs="Arial" w:eastAsia="Arial" w:hAnsi="Arial"/>
          <w:b w:val="false"/>
          <w:bCs w:val="false"/>
          <w:color w:val="1F2937"/>
          <w:sz w:val="22"/>
          <w:szCs w:val="22"/>
        </w:rPr>
        <w:t xml:space="preserve">Narrative Summary — Contextualised assessment narrative.</w:t>
      </w:r>
    </w:p>
    <w:p>
      <w:pPr>
        <w:pStyle w:val="ListParagraph"/>
        <w:numPr>
          <w:ilvl w:val="0"/>
          <w:numId w:val="2"/>
        </w:numPr>
        <w:spacing w:after="60" w:before="60"/>
      </w:pPr>
      <w:r>
        <w:rPr>
          <w:rFonts w:ascii="Arial" w:cs="Arial" w:eastAsia="Arial" w:hAnsi="Arial"/>
          <w:b w:val="false"/>
          <w:bCs w:val="false"/>
          <w:color w:val="1F2937"/>
          <w:sz w:val="22"/>
          <w:szCs w:val="22"/>
        </w:rPr>
        <w:t xml:space="preserve">Key Findings — Prioritised list of significant risk factors identified.</w:t>
      </w:r>
    </w:p>
    <w:p>
      <w:pPr>
        <w:pStyle w:val="ListParagraph"/>
        <w:numPr>
          <w:ilvl w:val="0"/>
          <w:numId w:val="2"/>
        </w:numPr>
        <w:spacing w:after="60" w:before="60"/>
      </w:pPr>
      <w:r>
        <w:rPr>
          <w:rFonts w:ascii="Arial" w:cs="Arial" w:eastAsia="Arial" w:hAnsi="Arial"/>
          <w:b w:val="false"/>
          <w:bCs w:val="false"/>
          <w:color w:val="1F2937"/>
          <w:sz w:val="22"/>
          <w:szCs w:val="22"/>
        </w:rPr>
        <w:t xml:space="preserve">Strengths — Areas where controls are assessed as effective.</w:t>
      </w:r>
    </w:p>
    <w:p>
      <w:pPr>
        <w:pStyle w:val="ListParagraph"/>
        <w:numPr>
          <w:ilvl w:val="0"/>
          <w:numId w:val="2"/>
        </w:numPr>
        <w:spacing w:after="60" w:before="60"/>
      </w:pPr>
      <w:r>
        <w:rPr>
          <w:rFonts w:ascii="Arial" w:cs="Arial" w:eastAsia="Arial" w:hAnsi="Arial"/>
          <w:b w:val="false"/>
          <w:bCs w:val="false"/>
          <w:color w:val="1F2937"/>
          <w:sz w:val="22"/>
          <w:szCs w:val="22"/>
        </w:rPr>
        <w:t xml:space="preserve">Compliance Gaps — Specific areas where regulatory or policy requirements are unmet.</w:t>
      </w:r>
    </w:p>
    <w:p>
      <w:pPr>
        <w:pStyle w:val="ListParagraph"/>
        <w:numPr>
          <w:ilvl w:val="0"/>
          <w:numId w:val="2"/>
        </w:numPr>
        <w:spacing w:after="60" w:before="60"/>
      </w:pPr>
      <w:r>
        <w:rPr>
          <w:rFonts w:ascii="Arial" w:cs="Arial" w:eastAsia="Arial" w:hAnsi="Arial"/>
          <w:b w:val="false"/>
          <w:bCs w:val="false"/>
          <w:color w:val="1F2937"/>
          <w:sz w:val="22"/>
          <w:szCs w:val="22"/>
        </w:rPr>
        <w:t xml:space="preserve">Recommendations Table — Actionable remediation steps ranked by priority.</w:t>
      </w:r>
    </w:p>
    <w:p>
      <w:pPr>
        <w:spacing w:after="80" w:before="80"/>
      </w:pPr>
      <w:r>
        <w:t xml:space="preserve"/>
      </w:r>
    </w:p>
    <w:p>
      <w:pPr>
        <w:pStyle w:val="Heading3"/>
        <w:spacing w:after="80" w:before="200"/>
      </w:pPr>
      <w:r>
        <w:rPr>
          <w:rFonts w:ascii="Arial" w:cs="Arial" w:eastAsia="Arial" w:hAnsi="Arial"/>
          <w:b/>
          <w:bCs/>
          <w:color w:val="374151"/>
          <w:sz w:val="22"/>
          <w:szCs w:val="22"/>
        </w:rPr>
        <w:t xml:space="preserve">Step 5 — Download PDF Report</w:t>
      </w:r>
    </w:p>
    <w:p>
      <w:pPr>
        <w:spacing w:after="80" w:before="80"/>
      </w:pPr>
      <w:r>
        <w:rPr>
          <w:rFonts w:ascii="Arial" w:cs="Arial" w:eastAsia="Arial" w:hAnsi="Arial"/>
          <w:color w:val="1F2937"/>
          <w:sz w:val="22"/>
          <w:szCs w:val="22"/>
        </w:rPr>
        <w:t xml:space="preserve">Click the Download Report button in the results action bar to generate and download the audit-ready PDF. The report includes all assessment metadata, scores, domain analysis, and recommendations in a professionally formatted multi-page document suitable for governance review boards and external auditors.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0" w:before="0"/>
            </w:pPr>
            <w:r>
              <w:rPr>
                <w:rFonts w:ascii="Arial" w:cs="Arial" w:eastAsia="Arial" w:hAnsi="Arial"/>
                <w:b/>
                <w:bCs/>
                <w:color w:val="92400E"/>
                <w:sz w:val="21"/>
                <w:szCs w:val="21"/>
              </w:rPr>
              <w:t xml:space="preserve">⚠️  Save Before Closing:  </w:t>
            </w:r>
            <w:r>
              <w:rPr>
                <w:rFonts w:ascii="Arial" w:cs="Arial" w:eastAsia="Arial" w:hAnsi="Arial"/>
                <w:color w:val="374151"/>
                <w:sz w:val="21"/>
                <w:szCs w:val="21"/>
              </w:rPr>
              <w:t xml:space="preserve">The PDF is your only persistent record of the assessment. Once the browser tab is refreshed or closed, all assessment data is permanently erased. Download the report before ending your session.</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7.3 Theme Toggle</w:t>
      </w:r>
    </w:p>
    <w:p>
      <w:pPr>
        <w:spacing w:after="80" w:before="80"/>
      </w:pPr>
      <w:r>
        <w:rPr>
          <w:rFonts w:ascii="Arial" w:cs="Arial" w:eastAsia="Arial" w:hAnsi="Arial"/>
          <w:color w:val="1F2937"/>
          <w:sz w:val="22"/>
          <w:szCs w:val="22"/>
        </w:rPr>
        <w:t xml:space="preserve">ARIA respects your operating system's light/dark mode preference by default. You may manually override this using the ☀︎ / ☾ toggle in the application header. Your preference is saved in the browser's localStorage and persists across sessions on the same device.</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7.4 Framework Overview Page</w:t>
      </w:r>
    </w:p>
    <w:p>
      <w:pPr>
        <w:spacing w:after="80" w:before="80"/>
      </w:pPr>
      <w:r>
        <w:rPr>
          <w:rFonts w:ascii="Arial" w:cs="Arial" w:eastAsia="Arial" w:hAnsi="Arial"/>
          <w:color w:val="1F2937"/>
          <w:sz w:val="22"/>
          <w:szCs w:val="22"/>
        </w:rPr>
        <w:t xml:space="preserve">The FRAMEWORK link in the application header opens the framework-overview.html page, which provides a complete reference for the assessment methodology, scoring formulas, domain definitions, and decision thresholds. This page is designed to be shared with stakeholders who require transparency into the assessment approach.</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8. PDF Report Specification</w:t>
      </w:r>
    </w:p>
    <w:p>
      <w:pPr>
        <w:spacing w:after="80" w:before="80"/>
      </w:pPr>
      <w:r>
        <w:rPr>
          <w:rFonts w:ascii="Arial" w:cs="Arial" w:eastAsia="Arial" w:hAnsi="Arial"/>
          <w:color w:val="1F2937"/>
          <w:sz w:val="22"/>
          <w:szCs w:val="22"/>
        </w:rPr>
        <w:t xml:space="preserve">The PDF report generated by ARIA is produced entirely client-side using the jsPDF library. No data is transmitted to any server during generation. The report is structured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Report Section</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Cover Page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Organisation branding, application name, assessment date, and classification marking.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Executive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Overall residual risk score, decision threshold, and high-level narrative.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Application Profile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All metadata captured in Step 1 (app name, model type, deployment, jurisdiction, scale,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Domain Score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Normalised score and weight for each of the eight domains with visual indicators.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Key Findings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Prioritised list of significant risk factors with domain attribution.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Compliance Gaps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Itemised list of unmet regulatory and policy requirements.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Strengths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Areas assessed as well-controlled or compliant.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Recommendations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Structured remediation table with priority, action, and responsible party fields.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Appendix — Methodology</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Summary of the three-layer scoring model, formulas, and metric scale for auditor reference.</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9. Accessibility &amp; Theming</w:t>
      </w:r>
    </w:p>
    <w:p>
      <w:pPr>
        <w:pStyle w:val="Heading2"/>
        <w:spacing w:after="100" w:before="280"/>
      </w:pPr>
      <w:r>
        <w:rPr>
          <w:rFonts w:ascii="Arial" w:cs="Arial" w:eastAsia="Arial" w:hAnsi="Arial"/>
          <w:b/>
          <w:bCs/>
          <w:color w:val="2563EB"/>
          <w:sz w:val="26"/>
          <w:szCs w:val="26"/>
        </w:rPr>
        <w:t xml:space="preserve">9.1 Visual Accessibility</w:t>
      </w:r>
    </w:p>
    <w:p>
      <w:pPr>
        <w:pStyle w:val="ListParagraph"/>
        <w:numPr>
          <w:ilvl w:val="0"/>
          <w:numId w:val="2"/>
        </w:numPr>
        <w:spacing w:after="60" w:before="60"/>
      </w:pPr>
      <w:r>
        <w:rPr>
          <w:rFonts w:ascii="Arial" w:cs="Arial" w:eastAsia="Arial" w:hAnsi="Arial"/>
          <w:b w:val="false"/>
          <w:bCs w:val="false"/>
          <w:color w:val="1F2937"/>
          <w:sz w:val="22"/>
          <w:szCs w:val="22"/>
        </w:rPr>
        <w:t xml:space="preserve">All colour pairs are selected for WCAG 2.1 AA-compliant contrast ratios.</w:t>
      </w:r>
    </w:p>
    <w:p>
      <w:pPr>
        <w:pStyle w:val="ListParagraph"/>
        <w:numPr>
          <w:ilvl w:val="0"/>
          <w:numId w:val="2"/>
        </w:numPr>
        <w:spacing w:after="60" w:before="60"/>
      </w:pPr>
      <w:r>
        <w:rPr>
          <w:rFonts w:ascii="Arial" w:cs="Arial" w:eastAsia="Arial" w:hAnsi="Arial"/>
          <w:b w:val="false"/>
          <w:bCs w:val="false"/>
          <w:color w:val="1F2937"/>
          <w:sz w:val="22"/>
          <w:szCs w:val="22"/>
        </w:rPr>
        <w:t xml:space="preserve">Text uses overflow-wrap: anywhere to prevent content clipping on narrow viewports.</w:t>
      </w:r>
    </w:p>
    <w:p>
      <w:pPr>
        <w:pStyle w:val="ListParagraph"/>
        <w:numPr>
          <w:ilvl w:val="0"/>
          <w:numId w:val="2"/>
        </w:numPr>
        <w:spacing w:after="60" w:before="60"/>
      </w:pPr>
      <w:r>
        <w:rPr>
          <w:rFonts w:ascii="Arial" w:cs="Arial" w:eastAsia="Arial" w:hAnsi="Arial"/>
          <w:b w:val="false"/>
          <w:bCs w:val="false"/>
          <w:color w:val="1F2937"/>
          <w:sz w:val="22"/>
          <w:szCs w:val="22"/>
        </w:rPr>
        <w:t xml:space="preserve">Interactive elements (option cards, checkboxes) support keyboard navigation via Tab, Enter, and Space.</w:t>
      </w:r>
    </w:p>
    <w:p>
      <w:pPr>
        <w:pStyle w:val="ListParagraph"/>
        <w:numPr>
          <w:ilvl w:val="0"/>
          <w:numId w:val="2"/>
        </w:numPr>
        <w:spacing w:after="60" w:before="60"/>
      </w:pPr>
      <w:r>
        <w:rPr>
          <w:rFonts w:ascii="Arial" w:cs="Arial" w:eastAsia="Arial" w:hAnsi="Arial"/>
          <w:b w:val="false"/>
          <w:bCs w:val="false"/>
          <w:color w:val="1F2937"/>
          <w:sz w:val="22"/>
          <w:szCs w:val="22"/>
        </w:rPr>
        <w:t xml:space="preserve">The application is fully responsive and mobile-first, adapting gracefully to screen widths from 320px upwards.</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Typeface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color w:val="1F2937"/>
                <w:sz w:val="20"/>
                <w:szCs w:val="20"/>
              </w:rPr>
              <w:t xml:space="preserve">Headings &amp; UI Accents</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color w:val="1F2937"/>
                <w:sz w:val="20"/>
                <w:szCs w:val="20"/>
              </w:rPr>
              <w:t xml:space="preserve">Sora</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color w:val="1F2937"/>
                <w:sz w:val="20"/>
                <w:szCs w:val="20"/>
              </w:rPr>
              <w:t xml:space="preserve">Modern, strong display typeface with excellent legibility at large sizes.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Body Text &amp; Data</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Inter</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Highly readable variable typeface optimised for screen use and data-dense interfaces.</w:t>
            </w:r>
          </w:p>
        </w:tc>
      </w:tr>
    </w:tbl>
    <w:p>
      <w:pPr>
        <w:spacing w:after="80" w:before="80"/>
      </w:pPr>
      <w:r>
        <w:t xml:space="preserve"/>
      </w:r>
    </w:p>
    <w:p>
      <w:pPr>
        <w:spacing w:after="80" w:before="80"/>
      </w:pPr>
      <w:r>
        <w:rPr>
          <w:rFonts w:ascii="Arial" w:cs="Arial" w:eastAsia="Arial" w:hAnsi="Arial"/>
          <w:color w:val="1F2937"/>
          <w:sz w:val="22"/>
          <w:szCs w:val="22"/>
        </w:rPr>
        <w:t xml:space="preserve">Typefaces can be updated by modifying the Google Fonts link in both HTML files and the corresponding font-family references in assets/style.css.</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10. Customisation Guide</w:t>
      </w:r>
    </w:p>
    <w:p>
      <w:pPr>
        <w:pStyle w:val="Heading2"/>
        <w:spacing w:after="100" w:before="280"/>
      </w:pPr>
      <w:r>
        <w:rPr>
          <w:rFonts w:ascii="Arial" w:cs="Arial" w:eastAsia="Arial" w:hAnsi="Arial"/>
          <w:b/>
          <w:bCs/>
          <w:color w:val="2563EB"/>
          <w:sz w:val="26"/>
          <w:szCs w:val="26"/>
        </w:rPr>
        <w:t xml:space="preserve">10.1 Adjusting Domain Weights</w:t>
      </w:r>
    </w:p>
    <w:p>
      <w:pPr>
        <w:spacing w:after="80" w:before="80"/>
      </w:pPr>
      <w:r>
        <w:rPr>
          <w:rFonts w:ascii="Arial" w:cs="Arial" w:eastAsia="Arial" w:hAnsi="Arial"/>
          <w:color w:val="1F2937"/>
          <w:sz w:val="22"/>
          <w:szCs w:val="22"/>
        </w:rPr>
        <w:t xml:space="preserve">Domain weights are defined in the weights object within the computeLocalScores() function in assets/app.js. Modify the numeric values to reflect your organisation's governance priorities. Ensure all weights sum to 1.0 (representing 100%).</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10.2 Adding or Modifying Questions</w:t>
      </w:r>
    </w:p>
    <w:p>
      <w:pPr>
        <w:pStyle w:val="ListParagraph"/>
        <w:numPr>
          <w:ilvl w:val="0"/>
          <w:numId w:val="2"/>
        </w:numPr>
        <w:spacing w:after="60" w:before="60"/>
      </w:pPr>
      <w:r>
        <w:rPr>
          <w:rFonts w:ascii="Arial" w:cs="Arial" w:eastAsia="Arial" w:hAnsi="Arial"/>
          <w:b w:val="false"/>
          <w:bCs w:val="false"/>
          <w:color w:val="1F2937"/>
          <w:sz w:val="22"/>
          <w:szCs w:val="22"/>
        </w:rPr>
        <w:t xml:space="preserve">To add an MCQ: Duplicate an existing MCQ block in ai-assessment-framework.html and assign a unique name and value attribute pair.</w:t>
      </w:r>
    </w:p>
    <w:p>
      <w:pPr>
        <w:pStyle w:val="ListParagraph"/>
        <w:numPr>
          <w:ilvl w:val="0"/>
          <w:numId w:val="2"/>
        </w:numPr>
        <w:spacing w:after="60" w:before="60"/>
      </w:pPr>
      <w:r>
        <w:rPr>
          <w:rFonts w:ascii="Arial" w:cs="Arial" w:eastAsia="Arial" w:hAnsi="Arial"/>
          <w:b w:val="false"/>
          <w:bCs w:val="false"/>
          <w:color w:val="1F2937"/>
          <w:sz w:val="22"/>
          <w:szCs w:val="22"/>
        </w:rPr>
        <w:t xml:space="preserve">To add a checklist: Duplicate an existing checklist block and assign unique name/value pairs to each checkbox input.</w:t>
      </w:r>
    </w:p>
    <w:p>
      <w:pPr>
        <w:pStyle w:val="ListParagraph"/>
        <w:numPr>
          <w:ilvl w:val="0"/>
          <w:numId w:val="2"/>
        </w:numPr>
        <w:spacing w:after="60" w:before="60"/>
      </w:pPr>
      <w:r>
        <w:rPr>
          <w:rFonts w:ascii="Arial" w:cs="Arial" w:eastAsia="Arial" w:hAnsi="Arial"/>
          <w:b w:val="false"/>
          <w:bCs w:val="false"/>
          <w:color w:val="1F2937"/>
          <w:sz w:val="22"/>
          <w:szCs w:val="22"/>
        </w:rPr>
        <w:t xml:space="preserve">Map new fields to the relevant domain inside computeLocalScores() in assets/app.js to ensure they influence the score correctly.</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10.3 Colour Palette</w:t>
      </w:r>
    </w:p>
    <w:p>
      <w:pPr>
        <w:spacing w:after="80" w:before="80"/>
      </w:pPr>
      <w:r>
        <w:rPr>
          <w:rFonts w:ascii="Arial" w:cs="Arial" w:eastAsia="Arial" w:hAnsi="Arial"/>
          <w:color w:val="1F2937"/>
          <w:sz w:val="22"/>
          <w:szCs w:val="22"/>
        </w:rPr>
        <w:t xml:space="preserve">All colours are defined as CSS custom properties in assets/style.css within the :root selector (light mode) and the [data-theme="dark"] selector (dark mode). Update these variables to apply consistent branding across the entire application. Validate contrast ratios after any colour change using a WCAG contrast checker.</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10.4 Branding</w:t>
      </w:r>
    </w:p>
    <w:p>
      <w:pPr>
        <w:spacing w:after="80" w:before="80"/>
      </w:pPr>
      <w:r>
        <w:rPr>
          <w:rFonts w:ascii="Arial" w:cs="Arial" w:eastAsia="Arial" w:hAnsi="Arial"/>
          <w:color w:val="1F2937"/>
          <w:sz w:val="22"/>
          <w:szCs w:val="22"/>
        </w:rPr>
        <w:t xml:space="preserve">The application title, header text, and PDF report branding can be updated directly in the HTML files and within the downloadPDF() function in assets/app.js.</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Theme toggle not switching between light and dark mode</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Verify that no inline &lt;style&gt; block has been re-introduced in the HTML files. Only assets/style.css should define CSS variables. Clear browser cache and reload.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Multi-select checkboxes not toggling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Confirm that the delegated event handlers in assets/app.js are intact and that each checklist item element carries the check-option wrapper class with an included &lt;input type="checkbox"&gt; element.</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PDF text is overflowing or being clipped</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If longer labels have been added, widen the relevant table columns or reduce the setFontSize values in the downloadPDF() function in assets/app.js.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Fonts not loading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ARIA loads Sora and Inter from Google Fonts CDN. In offline or restricted network environments, fonts will fall back to system sans-serif. For guaranteed offline use, download and self-host the font files.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Assessment data lost unexpectedly</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This is expected behaviour. ARIA uses session-only memory. Data is permanently erased on page refresh, navigation, or tab close. Always download the PDF before ending your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PDF download not initiating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Ensure jsPDF has loaded successfully from CDN. In offline environments, you may need to self-host the jsPDF library. Check browser console for CDN load errors.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Application not displaying correctly on mobile</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ARIA is mobile-first responsive. If display issues occur, ensure you are using a supported browser (Chrome, Firefox, Safari, Edge) and that viewport meta tag is present in the HTML.</w:t>
            </w:r>
          </w:p>
        </w:tc>
      </w:tr>
    </w:tbl>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12. Security, Legal, &amp; Disclaimers</w:t>
      </w:r>
    </w:p>
    <w:p>
      <w:pPr>
        <w:pStyle w:val="Heading2"/>
        <w:spacing w:after="100" w:before="280"/>
      </w:pPr>
      <w:r>
        <w:rPr>
          <w:rFonts w:ascii="Arial" w:cs="Arial" w:eastAsia="Arial" w:hAnsi="Arial"/>
          <w:b/>
          <w:bCs/>
          <w:color w:val="2563EB"/>
          <w:sz w:val="26"/>
          <w:szCs w:val="26"/>
        </w:rPr>
        <w:t xml:space="preserve">12.1 Security Posture</w:t>
      </w:r>
    </w:p>
    <w:p>
      <w:pPr>
        <w:pStyle w:val="ListParagraph"/>
        <w:numPr>
          <w:ilvl w:val="0"/>
          <w:numId w:val="2"/>
        </w:numPr>
        <w:spacing w:after="60" w:before="60"/>
      </w:pPr>
      <w:r>
        <w:rPr>
          <w:rFonts w:ascii="Arial" w:cs="Arial" w:eastAsia="Arial" w:hAnsi="Arial"/>
          <w:b w:val="false"/>
          <w:bCs w:val="false"/>
          <w:color w:val="1F2937"/>
          <w:sz w:val="22"/>
          <w:szCs w:val="22"/>
        </w:rPr>
        <w:t xml:space="preserve">ARIA collects no credentials, personal data, or payment information.</w:t>
      </w:r>
    </w:p>
    <w:p>
      <w:pPr>
        <w:pStyle w:val="ListParagraph"/>
        <w:numPr>
          <w:ilvl w:val="0"/>
          <w:numId w:val="2"/>
        </w:numPr>
        <w:spacing w:after="60" w:before="60"/>
      </w:pPr>
      <w:r>
        <w:rPr>
          <w:rFonts w:ascii="Arial" w:cs="Arial" w:eastAsia="Arial" w:hAnsi="Arial"/>
          <w:b w:val="false"/>
          <w:bCs w:val="false"/>
          <w:color w:val="1F2937"/>
          <w:sz w:val="22"/>
          <w:szCs w:val="22"/>
        </w:rPr>
        <w:t xml:space="preserve">No data is transmitted over any network by default.</w:t>
      </w:r>
    </w:p>
    <w:p>
      <w:pPr>
        <w:pStyle w:val="ListParagraph"/>
        <w:numPr>
          <w:ilvl w:val="0"/>
          <w:numId w:val="2"/>
        </w:numPr>
        <w:spacing w:after="60" w:before="60"/>
      </w:pPr>
      <w:r>
        <w:rPr>
          <w:rFonts w:ascii="Arial" w:cs="Arial" w:eastAsia="Arial" w:hAnsi="Arial"/>
          <w:b w:val="false"/>
          <w:bCs w:val="false"/>
          <w:color w:val="1F2937"/>
          <w:sz w:val="22"/>
          <w:szCs w:val="22"/>
        </w:rPr>
        <w:t xml:space="preserve">The application contains no server-side components, APIs, or data stores.</w:t>
      </w:r>
    </w:p>
    <w:p>
      <w:pPr>
        <w:pStyle w:val="ListParagraph"/>
        <w:numPr>
          <w:ilvl w:val="0"/>
          <w:numId w:val="2"/>
        </w:numPr>
        <w:spacing w:after="60" w:before="60"/>
      </w:pPr>
      <w:r>
        <w:rPr>
          <w:rFonts w:ascii="Arial" w:cs="Arial" w:eastAsia="Arial" w:hAnsi="Arial"/>
          <w:b w:val="false"/>
          <w:bCs w:val="false"/>
          <w:color w:val="1F2937"/>
          <w:sz w:val="22"/>
          <w:szCs w:val="22"/>
        </w:rPr>
        <w:t xml:space="preserve">Third-party CDN dependencies (jsPDF, Google Fonts) are loaded over HTTPS. For maximum security in sensitive environments, self-host these dependencies.</w:t>
      </w:r>
    </w:p>
    <w:p>
      <w:pPr>
        <w:pStyle w:val="ListParagraph"/>
        <w:numPr>
          <w:ilvl w:val="0"/>
          <w:numId w:val="2"/>
        </w:numPr>
        <w:spacing w:after="60" w:before="60"/>
      </w:pPr>
      <w:r>
        <w:rPr>
          <w:rFonts w:ascii="Arial" w:cs="Arial" w:eastAsia="Arial" w:hAnsi="Arial"/>
          <w:b w:val="false"/>
          <w:bCs w:val="false"/>
          <w:color w:val="1F2937"/>
          <w:sz w:val="22"/>
          <w:szCs w:val="22"/>
        </w:rPr>
        <w:t xml:space="preserve">The optional AI integration, if enabled, should only be used with API keys that follow your organisation's secrets management policy.</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12.2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after="0" w:before="0"/>
            </w:pPr>
            <w:r>
              <w:rPr>
                <w:rFonts w:ascii="Arial" w:cs="Arial" w:eastAsia="Arial" w:hAnsi="Arial"/>
                <w:b/>
                <w:bCs/>
                <w:color w:val="991B1B"/>
                <w:sz w:val="21"/>
                <w:szCs w:val="21"/>
              </w:rPr>
              <w:t xml:space="preserve">Disclaimer:  </w:t>
            </w:r>
            <w:r>
              <w:rPr>
                <w:rFonts w:ascii="Arial" w:cs="Arial" w:eastAsia="Arial" w:hAnsi="Arial"/>
                <w:color w:val="374151"/>
                <w:sz w:val="21"/>
                <w:szCs w:val="21"/>
              </w:rPr>
              <w:t xml:space="preserve">The ARIA assessment framework and its outputs — including scores, findings, and recommendations — are provided for internal risk guidance purposes only. They do not constitute legal advice, regulatory opinion, or certification of compliance with any applicable law or standard. Organisations must validate assessment outcomes with qualified legal, compliance, information security, and AI ethics professionals before making deployment decisions or submitting regulatory filings.</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12.3 Regulatory Context</w:t>
      </w:r>
    </w:p>
    <w:p>
      <w:pPr>
        <w:spacing w:after="80" w:before="80"/>
      </w:pPr>
      <w:r>
        <w:rPr>
          <w:rFonts w:ascii="Arial" w:cs="Arial" w:eastAsia="Arial" w:hAnsi="Arial"/>
          <w:color w:val="1F2937"/>
          <w:sz w:val="22"/>
          <w:szCs w:val="22"/>
        </w:rPr>
        <w:t xml:space="preserve">ARIA is designed to support — but not replace — compliance with emerging and established AI governance frameworks including:</w:t>
      </w:r>
    </w:p>
    <w:p>
      <w:pPr>
        <w:pStyle w:val="ListParagraph"/>
        <w:numPr>
          <w:ilvl w:val="0"/>
          <w:numId w:val="2"/>
        </w:numPr>
        <w:spacing w:after="60" w:before="60"/>
      </w:pPr>
      <w:r>
        <w:rPr>
          <w:rFonts w:ascii="Arial" w:cs="Arial" w:eastAsia="Arial" w:hAnsi="Arial"/>
          <w:b w:val="false"/>
          <w:bCs w:val="false"/>
          <w:color w:val="1F2937"/>
          <w:sz w:val="22"/>
          <w:szCs w:val="22"/>
        </w:rPr>
        <w:t xml:space="preserve">EU Artificial Intelligence Act (EU AI Act)</w:t>
      </w:r>
    </w:p>
    <w:p>
      <w:pPr>
        <w:pStyle w:val="ListParagraph"/>
        <w:numPr>
          <w:ilvl w:val="0"/>
          <w:numId w:val="2"/>
        </w:numPr>
        <w:spacing w:after="60" w:before="60"/>
      </w:pPr>
      <w:r>
        <w:rPr>
          <w:rFonts w:ascii="Arial" w:cs="Arial" w:eastAsia="Arial" w:hAnsi="Arial"/>
          <w:b w:val="false"/>
          <w:bCs w:val="false"/>
          <w:color w:val="1F2937"/>
          <w:sz w:val="22"/>
          <w:szCs w:val="22"/>
        </w:rPr>
        <w:t xml:space="preserve">ISO/IEC 42001:2023 — AI Management Systems</w:t>
      </w:r>
    </w:p>
    <w:p>
      <w:pPr>
        <w:pStyle w:val="ListParagraph"/>
        <w:numPr>
          <w:ilvl w:val="0"/>
          <w:numId w:val="2"/>
        </w:numPr>
        <w:spacing w:after="60" w:before="60"/>
      </w:pPr>
      <w:r>
        <w:rPr>
          <w:rFonts w:ascii="Arial" w:cs="Arial" w:eastAsia="Arial" w:hAnsi="Arial"/>
          <w:b w:val="false"/>
          <w:bCs w:val="false"/>
          <w:color w:val="1F2937"/>
          <w:sz w:val="22"/>
          <w:szCs w:val="22"/>
        </w:rPr>
        <w:t xml:space="preserve">NIST AI Risk Management Framework (AI RMF 1.0)</w:t>
      </w:r>
    </w:p>
    <w:p>
      <w:pPr>
        <w:pStyle w:val="ListParagraph"/>
        <w:numPr>
          <w:ilvl w:val="0"/>
          <w:numId w:val="2"/>
        </w:numPr>
        <w:spacing w:after="60" w:before="60"/>
      </w:pPr>
      <w:r>
        <w:rPr>
          <w:rFonts w:ascii="Arial" w:cs="Arial" w:eastAsia="Arial" w:hAnsi="Arial"/>
          <w:b w:val="false"/>
          <w:bCs w:val="false"/>
          <w:color w:val="1F2937"/>
          <w:sz w:val="22"/>
          <w:szCs w:val="22"/>
        </w:rPr>
        <w:t xml:space="preserve">UK AI Regulatory Framework</w:t>
      </w:r>
    </w:p>
    <w:p>
      <w:pPr>
        <w:pStyle w:val="ListParagraph"/>
        <w:numPr>
          <w:ilvl w:val="0"/>
          <w:numId w:val="2"/>
        </w:numPr>
        <w:spacing w:after="60" w:before="60"/>
      </w:pPr>
      <w:r>
        <w:rPr>
          <w:rFonts w:ascii="Arial" w:cs="Arial" w:eastAsia="Arial" w:hAnsi="Arial"/>
          <w:b w:val="false"/>
          <w:bCs w:val="false"/>
          <w:color w:val="1F2937"/>
          <w:sz w:val="22"/>
          <w:szCs w:val="22"/>
        </w:rPr>
        <w:t xml:space="preserve">GDPR and sector-specific data protection regulations</w:t>
      </w:r>
    </w:p>
    <w:p>
      <w:pPr>
        <w:spacing w:after="80" w:before="80"/>
      </w:pPr>
      <w:r>
        <w:t xml:space="preserve"/>
      </w:r>
    </w:p>
    <w:p>
      <w:pPr>
        <w:spacing w:after="80" w:before="80"/>
      </w:pPr>
      <w:r>
        <w:rPr>
          <w:rFonts w:ascii="Arial" w:cs="Arial" w:eastAsia="Arial" w:hAnsi="Arial"/>
          <w:color w:val="1F2937"/>
          <w:sz w:val="22"/>
          <w:szCs w:val="22"/>
        </w:rPr>
        <w:t xml:space="preserve">Consult the framework-overview.html page and your legal team to map ARIA's domains to the specific requirements of your applicable regulatory environment.</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13. Development &amp; Contributing Guidelines</w:t>
      </w:r>
    </w:p>
    <w:p>
      <w:pPr>
        <w:spacing w:after="80" w:before="80"/>
      </w:pPr>
      <w:r>
        <w:rPr>
          <w:rFonts w:ascii="Arial" w:cs="Arial" w:eastAsia="Arial" w:hAnsi="Arial"/>
          <w:color w:val="1F2937"/>
          <w:sz w:val="22"/>
          <w:szCs w:val="22"/>
        </w:rPr>
        <w:t xml:space="preserve">For teams extending or maintaining ARIA, the following standards apply:</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13.1 Code Standards</w:t>
      </w:r>
    </w:p>
    <w:p>
      <w:pPr>
        <w:pStyle w:val="ListParagraph"/>
        <w:numPr>
          <w:ilvl w:val="0"/>
          <w:numId w:val="2"/>
        </w:numPr>
        <w:spacing w:after="60" w:before="60"/>
      </w:pPr>
      <w:r>
        <w:rPr>
          <w:rFonts w:ascii="Arial" w:cs="Arial" w:eastAsia="Arial" w:hAnsi="Arial"/>
          <w:b w:val="false"/>
          <w:bCs w:val="false"/>
          <w:color w:val="1F2937"/>
          <w:sz w:val="22"/>
          <w:szCs w:val="22"/>
        </w:rPr>
        <w:t xml:space="preserve">Keep HTML semantic and minimal. Structure with landmark elements; avoid presentational markup.</w:t>
      </w:r>
    </w:p>
    <w:p>
      <w:pPr>
        <w:pStyle w:val="ListParagraph"/>
        <w:numPr>
          <w:ilvl w:val="0"/>
          <w:numId w:val="2"/>
        </w:numPr>
        <w:spacing w:after="60" w:before="60"/>
      </w:pPr>
      <w:r>
        <w:rPr>
          <w:rFonts w:ascii="Arial" w:cs="Arial" w:eastAsia="Arial" w:hAnsi="Arial"/>
          <w:b w:val="false"/>
          <w:bCs w:val="false"/>
          <w:color w:val="1F2937"/>
          <w:sz w:val="22"/>
          <w:szCs w:val="22"/>
        </w:rPr>
        <w:t xml:space="preserve">Never add inline styles or inline scripts. All styling belongs in assets/style.css; all logic belongs in assets/app.js.</w:t>
      </w:r>
    </w:p>
    <w:p>
      <w:pPr>
        <w:pStyle w:val="ListParagraph"/>
        <w:numPr>
          <w:ilvl w:val="0"/>
          <w:numId w:val="2"/>
        </w:numPr>
        <w:spacing w:after="60" w:before="60"/>
      </w:pPr>
      <w:r>
        <w:rPr>
          <w:rFonts w:ascii="Arial" w:cs="Arial" w:eastAsia="Arial" w:hAnsi="Arial"/>
          <w:b w:val="false"/>
          <w:bCs w:val="false"/>
          <w:color w:val="1F2937"/>
          <w:sz w:val="22"/>
          <w:szCs w:val="22"/>
        </w:rPr>
        <w:t xml:space="preserve">Use descriptive variable and function names, early returns, and minimal nesting in JavaScript.</w:t>
      </w:r>
    </w:p>
    <w:p>
      <w:pPr>
        <w:pStyle w:val="ListParagraph"/>
        <w:numPr>
          <w:ilvl w:val="0"/>
          <w:numId w:val="2"/>
        </w:numPr>
        <w:spacing w:after="60" w:before="60"/>
      </w:pPr>
      <w:r>
        <w:rPr>
          <w:rFonts w:ascii="Arial" w:cs="Arial" w:eastAsia="Arial" w:hAnsi="Arial"/>
          <w:b w:val="false"/>
          <w:bCs w:val="false"/>
          <w:color w:val="1F2937"/>
          <w:sz w:val="22"/>
          <w:szCs w:val="22"/>
        </w:rPr>
        <w:t xml:space="preserve">Use CSS custom properties (variables) exclusively for all colour, spacing, and typographic values.</w:t>
      </w:r>
    </w:p>
    <w:p>
      <w:pPr>
        <w:pStyle w:val="ListParagraph"/>
        <w:numPr>
          <w:ilvl w:val="0"/>
          <w:numId w:val="2"/>
        </w:numPr>
        <w:spacing w:after="60" w:before="60"/>
      </w:pPr>
      <w:r>
        <w:rPr>
          <w:rFonts w:ascii="Arial" w:cs="Arial" w:eastAsia="Arial" w:hAnsi="Arial"/>
          <w:b w:val="false"/>
          <w:bCs w:val="false"/>
          <w:color w:val="1F2937"/>
          <w:sz w:val="22"/>
          <w:szCs w:val="22"/>
        </w:rPr>
        <w:t xml:space="preserve">All new interactive elements must support keyboard navigation and meet WCAG 2.1 AA contrast requirements.</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13.2 Testing Checklist</w:t>
      </w:r>
    </w:p>
    <w:p>
      <w:pPr>
        <w:pStyle w:val="ListParagraph"/>
        <w:numPr>
          <w:ilvl w:val="0"/>
          <w:numId w:val="2"/>
        </w:numPr>
        <w:spacing w:after="60" w:before="60"/>
      </w:pPr>
      <w:r>
        <w:rPr>
          <w:rFonts w:ascii="Arial" w:cs="Arial" w:eastAsia="Arial" w:hAnsi="Arial"/>
          <w:b w:val="false"/>
          <w:bCs w:val="false"/>
          <w:color w:val="1F2937"/>
          <w:sz w:val="22"/>
          <w:szCs w:val="22"/>
        </w:rPr>
        <w:t xml:space="preserve">Verify assessment scoring produces correct residual risk values for known inputs.</w:t>
      </w:r>
    </w:p>
    <w:p>
      <w:pPr>
        <w:pStyle w:val="ListParagraph"/>
        <w:numPr>
          <w:ilvl w:val="0"/>
          <w:numId w:val="2"/>
        </w:numPr>
        <w:spacing w:after="60" w:before="60"/>
      </w:pPr>
      <w:r>
        <w:rPr>
          <w:rFonts w:ascii="Arial" w:cs="Arial" w:eastAsia="Arial" w:hAnsi="Arial"/>
          <w:b w:val="false"/>
          <w:bCs w:val="false"/>
          <w:color w:val="1F2937"/>
          <w:sz w:val="22"/>
          <w:szCs w:val="22"/>
        </w:rPr>
        <w:t xml:space="preserve">Test PDF export in Chrome, Firefox, Safari, and Edge.</w:t>
      </w:r>
    </w:p>
    <w:p>
      <w:pPr>
        <w:pStyle w:val="ListParagraph"/>
        <w:numPr>
          <w:ilvl w:val="0"/>
          <w:numId w:val="2"/>
        </w:numPr>
        <w:spacing w:after="60" w:before="60"/>
      </w:pPr>
      <w:r>
        <w:rPr>
          <w:rFonts w:ascii="Arial" w:cs="Arial" w:eastAsia="Arial" w:hAnsi="Arial"/>
          <w:b w:val="false"/>
          <w:bCs w:val="false"/>
          <w:color w:val="1F2937"/>
          <w:sz w:val="22"/>
          <w:szCs w:val="22"/>
        </w:rPr>
        <w:t xml:space="preserve">Validate that all domain questions render and score correctly after any question additions.</w:t>
      </w:r>
    </w:p>
    <w:p>
      <w:pPr>
        <w:pStyle w:val="ListParagraph"/>
        <w:numPr>
          <w:ilvl w:val="0"/>
          <w:numId w:val="2"/>
        </w:numPr>
        <w:spacing w:after="60" w:before="60"/>
      </w:pPr>
      <w:r>
        <w:rPr>
          <w:rFonts w:ascii="Arial" w:cs="Arial" w:eastAsia="Arial" w:hAnsi="Arial"/>
          <w:b w:val="false"/>
          <w:bCs w:val="false"/>
          <w:color w:val="1F2937"/>
          <w:sz w:val="22"/>
          <w:szCs w:val="22"/>
        </w:rPr>
        <w:t xml:space="preserve">Confirm light/dark theme toggle operates correctly after any CSS changes.</w:t>
      </w:r>
    </w:p>
    <w:p>
      <w:pPr>
        <w:pStyle w:val="ListParagraph"/>
        <w:numPr>
          <w:ilvl w:val="0"/>
          <w:numId w:val="2"/>
        </w:numPr>
        <w:spacing w:after="60" w:before="60"/>
      </w:pPr>
      <w:r>
        <w:rPr>
          <w:rFonts w:ascii="Arial" w:cs="Arial" w:eastAsia="Arial" w:hAnsi="Arial"/>
          <w:b w:val="false"/>
          <w:bCs w:val="false"/>
          <w:color w:val="1F2937"/>
          <w:sz w:val="22"/>
          <w:szCs w:val="22"/>
        </w:rPr>
        <w:t xml:space="preserve">Test on mobile viewport (320px minimum width).</w:t>
      </w:r>
    </w:p>
    <w:p>
      <w:pPr>
        <w:spacing w:after="80" w:before="80"/>
      </w:pPr>
      <w:r>
        <w:t xml:space="preserve"/>
      </w:r>
    </w:p>
    <w:p>
      <w:pPr>
        <w:pStyle w:val="Heading1"/>
        <w:pBdr>
          <w:bottom w:val="single" w:color="2563EB" w:sz="6" w:space="6"/>
        </w:pBdr>
        <w:spacing w:after="120" w:before="360"/>
      </w:pPr>
      <w:r>
        <w:rPr>
          <w:rFonts w:ascii="Arial" w:cs="Arial" w:eastAsia="Arial" w:hAnsi="Arial"/>
          <w:b/>
          <w:bCs/>
          <w:color w:val="1E3A5F"/>
          <w:sz w:val="32"/>
          <w:szCs w:val="32"/>
        </w:rPr>
        <w:t xml:space="preserve">14. Licence</w:t>
      </w:r>
    </w:p>
    <w:p>
      <w:pPr>
        <w:spacing w:after="80" w:before="80"/>
      </w:pPr>
      <w:r>
        <w:rPr>
          <w:rFonts w:ascii="Arial" w:cs="Arial" w:eastAsia="Arial" w:hAnsi="Arial"/>
          <w:color w:val="1F2937"/>
          <w:sz w:val="22"/>
          <w:szCs w:val="22"/>
        </w:rPr>
        <w:t xml:space="preserve">ARIA is distributed under your organisation's preferred licence. Insert the applicable licence text and copyright notice here before distributing internally or externally.</w:t>
      </w:r>
    </w:p>
    <w:p>
      <w:pPr>
        <w:spacing w:after="80" w:before="80"/>
      </w:pPr>
      <w:r>
        <w:t xml:space="preserve"/>
      </w:r>
    </w:p>
    <w:p>
      <w:pPr>
        <w:spacing w:after="80" w:before="80"/>
      </w:pPr>
      <w:r>
        <w:rPr>
          <w:rFonts w:ascii="Arial" w:cs="Arial" w:eastAsia="Arial" w:hAnsi="Arial"/>
          <w:color w:val="1F2937"/>
          <w:sz w:val="22"/>
          <w:szCs w:val="22"/>
        </w:rPr>
        <w:t xml:space="preserve">Recommended licence fields to populate:</w:t>
      </w:r>
    </w:p>
    <w:p>
      <w:pPr>
        <w:pStyle w:val="ListParagraph"/>
        <w:numPr>
          <w:ilvl w:val="0"/>
          <w:numId w:val="2"/>
        </w:numPr>
        <w:spacing w:after="60" w:before="60"/>
      </w:pPr>
      <w:r>
        <w:rPr>
          <w:rFonts w:ascii="Arial" w:cs="Arial" w:eastAsia="Arial" w:hAnsi="Arial"/>
          <w:b w:val="false"/>
          <w:bCs w:val="false"/>
          <w:color w:val="1F2937"/>
          <w:sz w:val="22"/>
          <w:szCs w:val="22"/>
        </w:rPr>
        <w:t xml:space="preserve">Copyright holder and year</w:t>
      </w:r>
    </w:p>
    <w:p>
      <w:pPr>
        <w:pStyle w:val="ListParagraph"/>
        <w:numPr>
          <w:ilvl w:val="0"/>
          <w:numId w:val="2"/>
        </w:numPr>
        <w:spacing w:after="60" w:before="60"/>
      </w:pPr>
      <w:r>
        <w:rPr>
          <w:rFonts w:ascii="Arial" w:cs="Arial" w:eastAsia="Arial" w:hAnsi="Arial"/>
          <w:b w:val="false"/>
          <w:bCs w:val="false"/>
          <w:color w:val="1F2937"/>
          <w:sz w:val="22"/>
          <w:szCs w:val="22"/>
        </w:rPr>
        <w:t xml:space="preserve">Permitted use (internal only / open source / commercial)</w:t>
      </w:r>
    </w:p>
    <w:p>
      <w:pPr>
        <w:pStyle w:val="ListParagraph"/>
        <w:numPr>
          <w:ilvl w:val="0"/>
          <w:numId w:val="2"/>
        </w:numPr>
        <w:spacing w:after="60" w:before="60"/>
      </w:pPr>
      <w:r>
        <w:rPr>
          <w:rFonts w:ascii="Arial" w:cs="Arial" w:eastAsia="Arial" w:hAnsi="Arial"/>
          <w:b w:val="false"/>
          <w:bCs w:val="false"/>
          <w:color w:val="1F2937"/>
          <w:sz w:val="22"/>
          <w:szCs w:val="22"/>
        </w:rPr>
        <w:t xml:space="preserve">Redistribution and modification conditions</w:t>
      </w:r>
    </w:p>
    <w:p>
      <w:pPr>
        <w:pStyle w:val="ListParagraph"/>
        <w:numPr>
          <w:ilvl w:val="0"/>
          <w:numId w:val="2"/>
        </w:numPr>
        <w:spacing w:after="60" w:before="60"/>
      </w:pPr>
      <w:r>
        <w:rPr>
          <w:rFonts w:ascii="Arial" w:cs="Arial" w:eastAsia="Arial" w:hAnsi="Arial"/>
          <w:b w:val="false"/>
          <w:bCs w:val="false"/>
          <w:color w:val="1F2937"/>
          <w:sz w:val="22"/>
          <w:szCs w:val="22"/>
        </w:rPr>
        <w:t xml:space="preserve">Warranty and liability disclaimers</w:t>
      </w:r>
    </w:p>
    <w:p>
      <w:pPr>
        <w:spacing w:after="80" w:before="80"/>
      </w:pPr>
      <w:r>
        <w:t xml:space="preserve"/>
      </w:r>
    </w:p>
    <w:p>
      <w:pPr>
        <w:pBdr>
          <w:bottom w:val="single" w:color="E5E7EB" w:sz="2" w:space="1"/>
        </w:pBdr>
        <w:spacing w:after="200" w:before="200"/>
      </w:pPr>
      <w:r>
        <w:t xml:space="preserve"/>
      </w:r>
    </w:p>
    <w:p>
      <w:pPr>
        <w:spacing w:after="120" w:before="200"/>
        <w:jc w:val="center"/>
      </w:pPr>
      <w:r>
        <w:rPr>
          <w:rFonts w:ascii="Arial" w:cs="Arial" w:eastAsia="Arial" w:hAnsi="Arial"/>
          <w:b/>
          <w:bCs/>
          <w:color w:val="1E3A5F"/>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 Summary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1.0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02/04/2026</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color w:val="1F2937"/>
                <w:sz w:val="20"/>
                <w:szCs w:val="20"/>
              </w:rPr>
              <w:t xml:space="preserve">Risk &amp; Governance Technology Team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color w:val="1F2937"/>
                <w:sz w:val="20"/>
                <w:szCs w:val="20"/>
              </w:rPr>
              <w:t xml:space="preserve">Initial release</w:t>
            </w:r>
          </w:p>
        </w:tc>
      </w:tr>
    </w:tbl>
    <w:p>
      <w:pPr>
        <w:spacing w:after="80" w:before="80"/>
      </w:pPr>
      <w:r>
        <w:t xml:space="preserve"/>
      </w:r>
    </w:p>
    <w:p>
      <w:pPr>
        <w:spacing w:after="0" w:before="120"/>
        <w:jc w:val="center"/>
      </w:pPr>
      <w:r>
        <w:rPr>
          <w:rFonts w:ascii="Arial" w:cs="Arial" w:eastAsia="Arial" w:hAnsi="Arial"/>
          <w:color w:val="9CA3AF"/>
          <w:sz w:val="18"/>
          <w:szCs w:val="18"/>
        </w:rPr>
        <w:t xml:space="preserve">ARIA — AI Risk &amp; Intelligence Assessment  |  Enterprise Grid  |  For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Borders>
            <w:top w:val="none" w:color="FFFFFF" w:sz="0"/>
            <w:left w:val="none" w:color="FFFFFF" w:sz="0"/>
            <w:bottom w:val="none" w:color="FFFFFF" w:sz="0"/>
            <w:right w:val="none" w:color="FFFFFF" w:sz="0"/>
          </w:tcBorders>
        </w:tcPr>
        <w:p>
          <w:r>
            <w:rPr>
              <w:rFonts w:ascii="Arial" w:cs="Arial" w:eastAsia="Arial" w:hAnsi="Arial"/>
              <w:color w:val="9CA3AF"/>
              <w:sz w:val="16"/>
              <w:szCs w:val="16"/>
            </w:rPr>
            <w:t xml:space="preserve">For Internal Use Only — Not Legal Advice</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Borders>
            <w:top w:val="none" w:color="FFFFFF" w:sz="0"/>
            <w:left w:val="none" w:color="FFFFFF" w:sz="0"/>
            <w:bottom w:val="none" w:color="FFFFFF" w:sz="0"/>
            <w:right w:val="none" w:color="FFFFFF" w:sz="0"/>
          </w:tcBorders>
        </w:tcPr>
        <w:p>
          <w:r>
            <w:rPr>
              <w:rFonts w:ascii="Arial" w:cs="Arial" w:eastAsia="Arial" w:hAnsi="Arial"/>
              <w:b/>
              <w:bCs/>
              <w:color w:val="1E3A5F"/>
              <w:sz w:val="18"/>
              <w:szCs w:val="18"/>
            </w:rPr>
            <w:t xml:space="preserve">ARIA — AI Risk &amp; Intelligence Assessment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9CA3AF"/>
              <w:sz w:val="18"/>
              <w:szCs w:val="18"/>
            </w:rPr>
            <w:t xml:space="preserve">Enterprise Grid  |  Confidential</w:t>
          </w:r>
        </w:p>
      </w:tc>
    </w:tr>
  </w:tbl>
  <w:p>
    <w:pPr>
      <w:pBdr>
        <w:bottom w:val="single" w:color="2563E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2026-04-02T14:51:22.076Z</dcterms:created>
  <dcterms:modified xsi:type="dcterms:W3CDTF">2026-04-02T14:51:22.076Z</dcterms:modified>
</cp:coreProperties>
</file>

<file path=docProps/custom.xml><?xml version="1.0" encoding="utf-8"?>
<Properties xmlns="http://schemas.openxmlformats.org/officeDocument/2006/custom-properties" xmlns:vt="http://schemas.openxmlformats.org/officeDocument/2006/docPropsVTypes"/>
</file>