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F3C91" w:val="clear"/>
            <w:tcMar>
              <w:top w:type="dxa" w:w="500"/>
              <w:left w:type="dxa" w:w="400"/>
              <w:bottom w:type="dxa" w:w="500"/>
              <w:right w:type="dxa" w:w="400"/>
            </w:tcMar>
          </w:tcPr>
          <w:p>
            <w:pPr>
              <w:spacing w:before="0" w:after="80"/>
              <w:jc w:val="center"/>
            </w:pPr>
            <w:r>
              <w:rPr>
                <w:rFonts w:ascii="Arial" w:cs="Arial" w:eastAsia="Arial" w:hAnsi="Arial"/>
                <w:b/>
                <w:bCs/>
                <w:color w:val="F59E0B"/>
                <w:sz w:val="28"/>
                <w:szCs w:val="28"/>
              </w:rPr>
              <w:t xml:space="preserve">THE AI REVOLUTION IS HERE</w:t>
            </w:r>
          </w:p>
          <w:p>
            <w:pPr>
              <w:spacing w:before="0" w:after="120"/>
              <w:jc w:val="center"/>
            </w:pPr>
            <w:r>
              <w:rPr>
                <w:rFonts w:ascii="Arial" w:cs="Arial" w:eastAsia="Arial" w:hAnsi="Arial"/>
                <w:b/>
                <w:bCs/>
                <w:color w:val="FFFFFF"/>
                <w:sz w:val="52"/>
                <w:szCs w:val="52"/>
              </w:rPr>
              <w:t xml:space="preserve">Recursive Language Models &amp; Agentic RAG:</w:t>
            </w:r>
          </w:p>
          <w:p>
            <w:pPr>
              <w:spacing w:before="0" w:after="200"/>
              <w:jc w:val="center"/>
            </w:pPr>
            <w:r>
              <w:rPr>
                <w:rFonts w:ascii="Arial" w:cs="Arial" w:eastAsia="Arial" w:hAnsi="Arial"/>
                <w:b w:val="false"/>
                <w:bCs w:val="false"/>
                <w:color w:val="CFFAFE"/>
                <w:sz w:val="36"/>
                <w:szCs w:val="36"/>
              </w:rPr>
              <w:t xml:space="preserve">The Intelligent Architectures Reshaping Every Industry</w:t>
            </w:r>
          </w:p>
          <w:p>
            <w:pPr>
              <w:spacing w:before="0" w:after="80"/>
              <w:jc w:val="center"/>
            </w:pPr>
            <w:r>
              <w:rPr>
                <w:rFonts w:ascii="Arial" w:cs="Arial" w:eastAsia="Arial" w:hAnsi="Arial"/>
                <w:i/>
                <w:iCs/>
                <w:color w:val="CBD5E1"/>
                <w:sz w:val="22"/>
                <w:szCs w:val="22"/>
              </w:rPr>
              <w:t xml:space="preserve">A Comprehensive Technical Deep-Dive into the Paradigm Shift Powering Enterprise AI</w:t>
            </w:r>
          </w:p>
          <w:p>
            <w:pPr>
              <w:spacing w:before="80" w:after="40"/>
              <w:jc w:val="center"/>
            </w:pPr>
            <w:r>
              <w:rPr>
                <w:rFonts w:ascii="Arial" w:cs="Arial" w:eastAsia="Arial" w:hAnsi="Arial"/>
                <w:color w:val="CFFAFE"/>
                <w:sz w:val="22"/>
                <w:szCs w:val="22"/>
              </w:rPr>
              <w:t xml:space="preserve">Authored &amp; Curated by  </w:t>
            </w:r>
            <w:r>
              <w:rPr>
                <w:rFonts w:ascii="Arial" w:cs="Arial" w:eastAsia="Arial" w:hAnsi="Arial"/>
                <w:b/>
                <w:bCs/>
                <w:color w:val="F59E0B"/>
                <w:sz w:val="26"/>
                <w:szCs w:val="26"/>
              </w:rPr>
              <w:t xml:space="preserve">Prateek Dutta</w:t>
            </w:r>
          </w:p>
          <w:p>
            <w:pPr>
              <w:spacing w:before="40" w:after="0"/>
              <w:jc w:val="center"/>
            </w:pPr>
            <w:r>
              <w:rPr>
                <w:rFonts w:ascii="Arial" w:cs="Arial" w:eastAsia="Arial" w:hAnsi="Arial"/>
                <w:color w:val="CFFAFE"/>
                <w:sz w:val="20"/>
                <w:szCs w:val="20"/>
              </w:rPr>
              <w:t xml:space="preserve">2026 | AI Architecture Intelligence Series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A56DB" w:sz="10"/>
              <w:left w:val="single" w:color="1A56DB" w:sz="20"/>
              <w:bottom w:val="nil"/>
              <w:right w:val="nil"/>
            </w:tcBorders>
            <w:shd w:fill="EFF6FF" w:val="clear"/>
            <w:tcMar>
              <w:top w:type="dxa" w:w="120"/>
              <w:left w:type="dxa" w:w="200"/>
              <w:bottom w:type="dxa" w:w="60"/>
              <w:right w:type="dxa" w:w="200"/>
            </w:tcMar>
          </w:tcPr>
          <w:p>
            <w:pPr>
              <w:spacing w:before="0" w:after="60"/>
            </w:pPr>
            <w:r>
              <w:rPr>
                <w:rFonts w:ascii="Arial" w:cs="Arial" w:eastAsia="Arial" w:hAnsi="Arial"/>
                <w:b/>
                <w:bCs/>
                <w:color w:val="0F3C91"/>
                <w:sz w:val="24"/>
                <w:szCs w:val="24"/>
              </w:rPr>
              <w:t xml:space="preserve">EXECUTIVE SUMMARY</w:t>
            </w:r>
          </w:p>
        </w:tc>
      </w:tr>
      <w:tr>
        <w:tc>
          <w:tcPr>
            <w:tcW w:type="dxa" w:w="9360"/>
            <w:tcBorders>
              <w:top w:val="nil"/>
              <w:left w:val="single" w:color="1A56DB" w:sz="20"/>
              <w:bottom w:val="single" w:color="1A56DB" w:sz="4"/>
              <w:right w:val="nil"/>
            </w:tcBorders>
            <w:shd w:fill="EFF6FF"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We are living through the most exciting inflection point in the history of computing. Two groundbreaking AI architectures — Recursive Language Models (RLMs) and Agentic RAG — have emerged not just as improvements over traditional LLMs, but as entirely new paradigms for how machines think, reason, and act. This article unpacks the technical foundations, real-world applications, and market-shaking implications of these innovations that are transforming industries from healthcare to finance at breathtaking speed.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CFFAFE" w:val="clear"/>
            <w:tcMar>
              <w:top w:type="dxa" w:w="140"/>
              <w:left w:type="dxa" w:w="200"/>
              <w:bottom w:type="dxa" w:w="140"/>
              <w:right w:type="dxa" w:w="200"/>
            </w:tcMar>
            <w:vAlign w:val="center"/>
          </w:tcPr>
          <w:p>
            <w:pPr>
              <w:spacing w:before="0" w:after="40"/>
              <w:jc w:val="center"/>
            </w:pPr>
            <w:r>
              <w:rPr>
                <w:rFonts w:ascii="Arial" w:cs="Arial" w:eastAsia="Arial" w:hAnsi="Arial"/>
                <w:b/>
                <w:bCs/>
                <w:color w:val="0F3C91"/>
                <w:sz w:val="48"/>
                <w:szCs w:val="48"/>
              </w:rPr>
              <w:t xml:space="preserve">87%</w:t>
            </w:r>
          </w:p>
          <w:p>
            <w:pPr>
              <w:spacing w:before="0" w:after="0"/>
              <w:jc w:val="center"/>
            </w:pPr>
            <w:r>
              <w:rPr>
                <w:rFonts w:ascii="Arial" w:cs="Arial" w:eastAsia="Arial" w:hAnsi="Arial"/>
                <w:color w:val="334155"/>
                <w:sz w:val="20"/>
                <w:szCs w:val="20"/>
              </w:rPr>
              <w:t xml:space="preserve">Reduction in context processing costs with RLMs vs. long-context LLMs</w:t>
            </w:r>
          </w:p>
        </w:tc>
        <w:tc>
          <w:tcPr>
            <w:tcW w:type="dxa" w:w="3120"/>
            <w:tcBorders>
              <w:top w:val="single" w:color="CBD5E1" w:sz="4"/>
              <w:left w:val="single" w:color="CBD5E1" w:sz="4"/>
              <w:bottom w:val="single" w:color="CBD5E1" w:sz="4"/>
              <w:right w:val="single" w:color="CBD5E1" w:sz="4"/>
            </w:tcBorders>
            <w:shd w:fill="FEF3C7" w:val="clear"/>
            <w:tcMar>
              <w:top w:type="dxa" w:w="140"/>
              <w:left w:type="dxa" w:w="200"/>
              <w:bottom w:type="dxa" w:w="140"/>
              <w:right w:type="dxa" w:w="200"/>
            </w:tcMar>
            <w:vAlign w:val="center"/>
          </w:tcPr>
          <w:p>
            <w:pPr>
              <w:spacing w:before="0" w:after="40"/>
              <w:jc w:val="center"/>
            </w:pPr>
            <w:r>
              <w:rPr>
                <w:rFonts w:ascii="Arial" w:cs="Arial" w:eastAsia="Arial" w:hAnsi="Arial"/>
                <w:b/>
                <w:bCs/>
                <w:color w:val="0F3C91"/>
                <w:sz w:val="48"/>
                <w:szCs w:val="48"/>
              </w:rPr>
              <w:t xml:space="preserve">3.2x</w:t>
            </w:r>
          </w:p>
          <w:p>
            <w:pPr>
              <w:spacing w:before="0" w:after="0"/>
              <w:jc w:val="center"/>
            </w:pPr>
            <w:r>
              <w:rPr>
                <w:rFonts w:ascii="Arial" w:cs="Arial" w:eastAsia="Arial" w:hAnsi="Arial"/>
                <w:color w:val="334155"/>
                <w:sz w:val="20"/>
                <w:szCs w:val="20"/>
              </w:rPr>
              <w:t xml:space="preserve">Accuracy improvement in complex reasoning tasks using Agentic RAG pipelines</w:t>
            </w:r>
          </w:p>
        </w:tc>
        <w:tc>
          <w:tcPr>
            <w:tcW w:type="dxa" w:w="3120"/>
            <w:tcBorders>
              <w:top w:val="single" w:color="CBD5E1" w:sz="4"/>
              <w:left w:val="single" w:color="CBD5E1" w:sz="4"/>
              <w:bottom w:val="single" w:color="CBD5E1" w:sz="4"/>
              <w:right w:val="single" w:color="CBD5E1" w:sz="4"/>
            </w:tcBorders>
            <w:shd w:fill="D1FAE5" w:val="clear"/>
            <w:tcMar>
              <w:top w:type="dxa" w:w="140"/>
              <w:left w:type="dxa" w:w="200"/>
              <w:bottom w:type="dxa" w:w="140"/>
              <w:right w:type="dxa" w:w="200"/>
            </w:tcMar>
            <w:vAlign w:val="center"/>
          </w:tcPr>
          <w:p>
            <w:pPr>
              <w:spacing w:before="0" w:after="40"/>
              <w:jc w:val="center"/>
            </w:pPr>
            <w:r>
              <w:rPr>
                <w:rFonts w:ascii="Arial" w:cs="Arial" w:eastAsia="Arial" w:hAnsi="Arial"/>
                <w:b/>
                <w:bCs/>
                <w:color w:val="0F3C91"/>
                <w:sz w:val="48"/>
                <w:szCs w:val="48"/>
              </w:rPr>
              <w:t xml:space="preserve">Near GPT-5</w:t>
            </w:r>
          </w:p>
          <w:p>
            <w:pPr>
              <w:spacing w:before="0" w:after="0"/>
              <w:jc w:val="center"/>
            </w:pPr>
            <w:r>
              <w:rPr>
                <w:rFonts w:ascii="Arial" w:cs="Arial" w:eastAsia="Arial" w:hAnsi="Arial"/>
                <w:color w:val="334155"/>
                <w:sz w:val="20"/>
                <w:szCs w:val="20"/>
              </w:rPr>
              <w:t xml:space="preserve">Performance achieved by Qwen3-8B with RLM architecture — at a fraction of the cost</w:t>
            </w:r>
          </w:p>
        </w:tc>
      </w:tr>
    </w:tbl>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I: The Problem That Broke Traditional AI</w:t>
      </w:r>
    </w:p>
    <w:p>
      <w:pPr>
        <w:spacing w:before="80" w:after="160"/>
        <w:jc w:val="left"/>
      </w:pPr>
      <w:r>
        <w:rPr>
          <w:rFonts w:ascii="Arial" w:cs="Arial" w:eastAsia="Arial" w:hAnsi="Arial"/>
          <w:b w:val="false"/>
          <w:bCs w:val="false"/>
          <w:i w:val="false"/>
          <w:iCs w:val="false"/>
          <w:color w:val="1E293B"/>
          <w:sz w:val="24"/>
          <w:szCs w:val="24"/>
        </w:rPr>
        <w:t xml:space="preserve">Imagine asking a brilliant analyst to read 10,000 pages of financial reports simultaneously and give you the precise insight buried on page 6,847 — </w:t>
      </w:r>
      <w:r>
        <w:rPr>
          <w:rFonts w:ascii="Arial" w:cs="Arial" w:eastAsia="Arial" w:hAnsi="Arial"/>
          <w:b/>
          <w:bCs/>
          <w:i w:val="false"/>
          <w:iCs w:val="false"/>
          <w:color w:val="1E293B"/>
          <w:sz w:val="24"/>
          <w:szCs w:val="24"/>
        </w:rPr>
        <w:t xml:space="preserve">in real time</w:t>
      </w:r>
      <w:r>
        <w:rPr>
          <w:rFonts w:ascii="Arial" w:cs="Arial" w:eastAsia="Arial" w:hAnsi="Arial"/>
          <w:b w:val="false"/>
          <w:bCs w:val="false"/>
          <w:i w:val="false"/>
          <w:iCs w:val="false"/>
          <w:color w:val="1E293B"/>
          <w:sz w:val="24"/>
          <w:szCs w:val="24"/>
        </w:rPr>
        <w:t xml:space="preserve">, without errors, every time. That is precisely the absurd demand we have been placing on traditional large language models. And unsurprisingly, they have been cracking under the pressure.</w:t>
      </w:r>
    </w:p>
    <w:p>
      <w:pPr>
        <w:spacing w:before="80" w:after="160"/>
        <w:jc w:val="left"/>
      </w:pPr>
      <w:r>
        <w:rPr>
          <w:rFonts w:ascii="Arial" w:cs="Arial" w:eastAsia="Arial" w:hAnsi="Arial"/>
          <w:b w:val="false"/>
          <w:bCs w:val="false"/>
          <w:i w:val="false"/>
          <w:iCs w:val="false"/>
          <w:color w:val="1E293B"/>
          <w:sz w:val="24"/>
          <w:szCs w:val="24"/>
        </w:rPr>
        <w:t xml:space="preserve">Traditional LLMs operate on a deceptively simple principle: ingest text into a context window, process it all at once, and generate a response. For decades, researchers believed that bigger context windows were the solution. If the model could see more text at once, surely it would reason better. The industry poured billions into this approach — creating models with 128K, 500K, even 1 million token context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7C3AED" w:sz="10"/>
              <w:left w:val="single" w:color="7C3AED" w:sz="20"/>
              <w:bottom w:val="nil"/>
              <w:right w:val="nil"/>
            </w:tcBorders>
            <w:shd w:fill="EDE9FE" w:val="clear"/>
            <w:tcMar>
              <w:top w:type="dxa" w:w="120"/>
              <w:left w:type="dxa" w:w="200"/>
              <w:bottom w:type="dxa" w:w="60"/>
              <w:right w:type="dxa" w:w="200"/>
            </w:tcMar>
          </w:tcPr>
          <w:p>
            <w:pPr>
              <w:spacing w:before="0" w:after="60"/>
            </w:pPr>
            <w:r>
              <w:rPr>
                <w:rFonts w:ascii="Arial" w:cs="Arial" w:eastAsia="Arial" w:hAnsi="Arial"/>
                <w:b/>
                <w:bCs/>
                <w:color w:val="7C3AED"/>
                <w:sz w:val="24"/>
                <w:szCs w:val="24"/>
              </w:rPr>
              <w:t xml:space="preserve">🔬 The "Context Rot" Phenomenon</w:t>
            </w:r>
          </w:p>
        </w:tc>
      </w:tr>
      <w:tr>
        <w:tc>
          <w:tcPr>
            <w:tcW w:type="dxa" w:w="9360"/>
            <w:tcBorders>
              <w:top w:val="nil"/>
              <w:left w:val="single" w:color="7C3AED" w:sz="20"/>
              <w:bottom w:val="single" w:color="7C3AED" w:sz="4"/>
              <w:right w:val="nil"/>
            </w:tcBorders>
            <w:shd w:fill="EDE9FE"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Research consistently shows that LLM performance degrades non-linearly as context size grows. A model that scores 94% accuracy on a focused 4K-token task may drop to 61% when the same information is buried in a 100K-token context. This degradation — dubbed "context rot" — occurs because the attention mechanism struggles to assign meaningful weights across massive spans of text. The signal-to-noise ratio collapses.</w:t>
            </w:r>
          </w:p>
        </w:tc>
      </w:tr>
    </w:tbl>
    <w:p>
      <w:pPr>
        <w:spacing w:before="120" w:after="0"/>
      </w:pPr>
      <w:r>
        <w:t xml:space="preserve"/>
      </w:r>
    </w:p>
    <w:p>
      <w:pPr>
        <w:spacing w:before="80" w:after="160"/>
        <w:jc w:val="left"/>
      </w:pPr>
      <w:r>
        <w:rPr>
          <w:rFonts w:ascii="Arial" w:cs="Arial" w:eastAsia="Arial" w:hAnsi="Arial"/>
          <w:b w:val="false"/>
          <w:bCs w:val="false"/>
          <w:i w:val="false"/>
          <w:iCs w:val="false"/>
          <w:color w:val="1E293B"/>
          <w:sz w:val="24"/>
          <w:szCs w:val="24"/>
        </w:rPr>
        <w:t xml:space="preserve">Context rot is not a bug. It is a fundamental architectural limitation. And it has been holding back AI adoption in exactly the domains where AI could deliver the most value: legal document analysis, financial audit trails, medical record synthesis, enterprise knowledge bases. The fields where precision is not optional — where a missed detail can mean a misdiagnosis, a lost lawsuit, or a regulatory fine.</w:t>
      </w:r>
    </w:p>
    <w:p>
      <w:pPr>
        <w:spacing w:before="80" w:after="160"/>
        <w:jc w:val="left"/>
      </w:pPr>
      <w:r>
        <w:rPr>
          <w:rFonts w:ascii="Arial" w:cs="Arial" w:eastAsia="Arial" w:hAnsi="Arial"/>
          <w:b w:val="false"/>
          <w:bCs w:val="false"/>
          <w:i w:val="false"/>
          <w:iCs w:val="false"/>
          <w:color w:val="1E293B"/>
          <w:sz w:val="24"/>
          <w:szCs w:val="24"/>
        </w:rPr>
        <w:t xml:space="preserve">The market needed a better answer. And in 2024-2025, two answers arrived simultaneously — each addressing a different dimension of the same fundamental problem. Together, they represent the most exciting leap in applied AI architecture since the Transformer itself.</w:t>
      </w:r>
    </w:p>
    <w:p>
      <w:pPr>
        <w:spacing w:before="2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II: Recursive Language Models — Programming the Mind</w:t>
      </w:r>
    </w:p>
    <w:p>
      <w:pPr>
        <w:pStyle w:val="Heading2"/>
        <w:spacing w:before="360" w:after="160"/>
      </w:pPr>
      <w:r>
        <w:rPr>
          <w:rFonts w:ascii="Arial" w:cs="Arial" w:eastAsia="Arial" w:hAnsi="Arial"/>
          <w:b/>
          <w:bCs/>
          <w:color w:val="1A56DB"/>
          <w:sz w:val="32"/>
          <w:szCs w:val="32"/>
        </w:rPr>
        <w:t xml:space="preserve">2.1  The Core Insight: Data as an Executable Environment</w:t>
      </w:r>
    </w:p>
    <w:p>
      <w:pPr>
        <w:spacing w:before="80" w:after="160"/>
        <w:jc w:val="left"/>
      </w:pPr>
      <w:r>
        <w:rPr>
          <w:rFonts w:ascii="Arial" w:cs="Arial" w:eastAsia="Arial" w:hAnsi="Arial"/>
          <w:b w:val="false"/>
          <w:bCs w:val="false"/>
          <w:i w:val="false"/>
          <w:iCs w:val="false"/>
          <w:color w:val="1E293B"/>
          <w:sz w:val="24"/>
          <w:szCs w:val="24"/>
        </w:rPr>
        <w:t xml:space="preserve">The genius of Recursive Language Models lies in a conceptual flip so elegant it feels obvious in hindsight: instead of making the model </w:t>
      </w:r>
      <w:r>
        <w:rPr>
          <w:rFonts w:ascii="Arial" w:cs="Arial" w:eastAsia="Arial" w:hAnsi="Arial"/>
          <w:b w:val="false"/>
          <w:bCs w:val="false"/>
          <w:i/>
          <w:iCs/>
          <w:color w:val="1E293B"/>
          <w:sz w:val="24"/>
          <w:szCs w:val="24"/>
        </w:rPr>
        <w:t xml:space="preserve">read</w:t>
      </w:r>
      <w:r>
        <w:rPr>
          <w:rFonts w:ascii="Arial" w:cs="Arial" w:eastAsia="Arial" w:hAnsi="Arial"/>
          <w:b w:val="false"/>
          <w:bCs w:val="false"/>
          <w:i w:val="false"/>
          <w:iCs w:val="false"/>
          <w:color w:val="1E293B"/>
          <w:sz w:val="24"/>
          <w:szCs w:val="24"/>
        </w:rPr>
        <w:t xml:space="preserve"> all the data, make it </w:t>
      </w:r>
      <w:r>
        <w:rPr>
          <w:rFonts w:ascii="Arial" w:cs="Arial" w:eastAsia="Arial" w:hAnsi="Arial"/>
          <w:b/>
          <w:bCs/>
          <w:i w:val="false"/>
          <w:iCs w:val="false"/>
          <w:color w:val="1E293B"/>
          <w:sz w:val="24"/>
          <w:szCs w:val="24"/>
        </w:rPr>
        <w:t xml:space="preserve">write programs</w:t>
      </w:r>
      <w:r>
        <w:rPr>
          <w:rFonts w:ascii="Arial" w:cs="Arial" w:eastAsia="Arial" w:hAnsi="Arial"/>
          <w:b w:val="false"/>
          <w:bCs w:val="false"/>
          <w:i w:val="false"/>
          <w:iCs w:val="false"/>
          <w:color w:val="1E293B"/>
          <w:sz w:val="24"/>
          <w:szCs w:val="24"/>
        </w:rPr>
        <w:t xml:space="preserve"> to interrogate the data. The document, database, or knowledge corpus is no longer content to be consumed — it is an </w:t>
      </w:r>
      <w:r>
        <w:rPr>
          <w:rFonts w:ascii="Arial" w:cs="Arial" w:eastAsia="Arial" w:hAnsi="Arial"/>
          <w:b/>
          <w:bCs/>
          <w:i w:val="false"/>
          <w:iCs w:val="false"/>
          <w:color w:val="1E293B"/>
          <w:sz w:val="24"/>
          <w:szCs w:val="24"/>
        </w:rPr>
        <w:t xml:space="preserve">external environment to be explored programmatically</w:t>
      </w:r>
      <w:r>
        <w:rPr>
          <w:rFonts w:ascii="Arial" w:cs="Arial" w:eastAsia="Arial" w:hAnsi="Arial"/>
          <w:b w:val="false"/>
          <w:bCs w:val="false"/>
          <w:i w:val="false"/>
          <w:iCs w:val="false"/>
          <w:color w:val="1E293B"/>
          <w:sz w:val="24"/>
          <w:szCs w:val="24"/>
        </w:rPr>
        <w:t xml:space="preserve">.</w:t>
      </w:r>
    </w:p>
    <w:p>
      <w:pPr>
        <w:spacing w:before="80" w:after="160"/>
        <w:jc w:val="left"/>
      </w:pPr>
      <w:r>
        <w:rPr>
          <w:rFonts w:ascii="Arial" w:cs="Arial" w:eastAsia="Arial" w:hAnsi="Arial"/>
          <w:b w:val="false"/>
          <w:bCs w:val="false"/>
          <w:i w:val="false"/>
          <w:iCs w:val="false"/>
          <w:color w:val="1E293B"/>
          <w:sz w:val="24"/>
          <w:szCs w:val="24"/>
        </w:rPr>
        <w:t xml:space="preserve">Think of the difference between a student who reads an entire textbook before answering a question, versus a senior engineer who opens a terminal, runs targeted queries, pipes outputs through filters, and surfaces exactly the relevant information within seconds. The engineer is not less intelligent for not having read every page — they are</w:t>
      </w:r>
      <w:r>
        <w:rPr>
          <w:rFonts w:ascii="Arial" w:cs="Arial" w:eastAsia="Arial" w:hAnsi="Arial"/>
          <w:b/>
          <w:bCs/>
          <w:i/>
          <w:iCs/>
          <w:color w:val="1E293B"/>
          <w:sz w:val="24"/>
          <w:szCs w:val="24"/>
        </w:rPr>
        <w:t xml:space="preserve"> more</w:t>
      </w:r>
      <w:r>
        <w:rPr>
          <w:rFonts w:ascii="Arial" w:cs="Arial" w:eastAsia="Arial" w:hAnsi="Arial"/>
          <w:b w:val="false"/>
          <w:bCs w:val="false"/>
          <w:i w:val="false"/>
          <w:iCs w:val="false"/>
          <w:color w:val="1E293B"/>
          <w:sz w:val="24"/>
          <w:szCs w:val="24"/>
        </w:rPr>
        <w:t xml:space="preserve"> intelligent for knowing how to ask precise questions.</w:t>
      </w:r>
    </w:p>
    <w:p>
      <w:pPr>
        <w:spacing w:before="80" w:after="160"/>
        <w:jc w:val="left"/>
      </w:pPr>
      <w:r>
        <w:rPr>
          <w:rFonts w:ascii="Arial" w:cs="Arial" w:eastAsia="Arial" w:hAnsi="Arial"/>
          <w:b w:val="false"/>
          <w:bCs w:val="false"/>
          <w:i w:val="false"/>
          <w:iCs w:val="false"/>
          <w:color w:val="1E293B"/>
          <w:sz w:val="24"/>
          <w:szCs w:val="24"/>
        </w:rPr>
        <w:t xml:space="preserve">RLMs operate like that senior engineer. When presented with a massive dataset or document corpus, they do not attempt to load it all into working memory. Instead, they generate and execute code — Python scripts, shell commands, regex patterns, JSON parsers — to surgically extract only the information needed for the current reasoning step.</w:t>
      </w:r>
    </w:p>
    <w:p>
      <w:pPr>
        <w:pStyle w:val="Heading2"/>
        <w:spacing w:before="360" w:after="160"/>
      </w:pPr>
      <w:r>
        <w:rPr>
          <w:rFonts w:ascii="Arial" w:cs="Arial" w:eastAsia="Arial" w:hAnsi="Arial"/>
          <w:b/>
          <w:bCs/>
          <w:color w:val="1A56DB"/>
          <w:sz w:val="32"/>
          <w:szCs w:val="32"/>
        </w:rPr>
        <w:t xml:space="preserve">2.2  How RLMs Work: The Technical Architecture</w:t>
      </w:r>
    </w:p>
    <w:p>
      <w:pPr>
        <w:spacing w:before="80" w:after="160"/>
        <w:jc w:val="left"/>
      </w:pPr>
      <w:r>
        <w:rPr>
          <w:rFonts w:ascii="Arial" w:cs="Arial" w:eastAsia="Arial" w:hAnsi="Arial"/>
          <w:b w:val="false"/>
          <w:bCs w:val="false"/>
          <w:i w:val="false"/>
          <w:iCs w:val="false"/>
          <w:color w:val="1E293B"/>
          <w:sz w:val="24"/>
          <w:szCs w:val="24"/>
        </w:rPr>
        <w:t xml:space="preserve">The RLM pipeline consists of four deeply interconnected layers: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Perception Layer</w:t>
      </w:r>
      <w:r>
        <w:rPr>
          <w:rFonts w:ascii="Arial" w:cs="Arial" w:eastAsia="Arial" w:hAnsi="Arial"/>
          <w:b w:val="false"/>
          <w:bCs w:val="false"/>
          <w:i w:val="false"/>
          <w:iCs w:val="false"/>
          <w:color w:val="1E293B"/>
          <w:sz w:val="24"/>
          <w:szCs w:val="24"/>
        </w:rPr>
        <w:t xml:space="preserve"> — The model receives a query and an initial description of the data environment (schema, file structure, available APIs). It does not receive the raw data itself.</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Program Synthesis Layer</w:t>
      </w:r>
      <w:r>
        <w:rPr>
          <w:rFonts w:ascii="Arial" w:cs="Arial" w:eastAsia="Arial" w:hAnsi="Arial"/>
          <w:b w:val="false"/>
          <w:bCs w:val="false"/>
          <w:i w:val="false"/>
          <w:iCs w:val="false"/>
          <w:color w:val="1E293B"/>
          <w:sz w:val="24"/>
          <w:szCs w:val="24"/>
        </w:rPr>
        <w:t xml:space="preserve"> — The model generates executable code to probe specific aspects of the environment. This might be a grep command searching a log file, a JSON traversal extracting nested fields, or a regex pattern matching specific entity types.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Recursive Sub-Agent Layer</w:t>
      </w:r>
      <w:r>
        <w:rPr>
          <w:rFonts w:ascii="Arial" w:cs="Arial" w:eastAsia="Arial" w:hAnsi="Arial"/>
          <w:b w:val="false"/>
          <w:bCs w:val="false"/>
          <w:i w:val="false"/>
          <w:iCs w:val="false"/>
          <w:color w:val="1E293B"/>
          <w:sz w:val="24"/>
          <w:szCs w:val="24"/>
        </w:rPr>
        <w:t xml:space="preserve"> — For complex multi-step reasoning, the model spawns focused sub-agents, each responsible for a narrow sub-problem. These sub-agents operate within tightly scoped contexts, avoiding the attention dilution that plagues monolithic approaches.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Synthesis and Verification Layer</w:t>
      </w:r>
      <w:r>
        <w:rPr>
          <w:rFonts w:ascii="Arial" w:cs="Arial" w:eastAsia="Arial" w:hAnsi="Arial"/>
          <w:b w:val="false"/>
          <w:bCs w:val="false"/>
          <w:i w:val="false"/>
          <w:iCs w:val="false"/>
          <w:color w:val="1E293B"/>
          <w:sz w:val="24"/>
          <w:szCs w:val="24"/>
        </w:rPr>
        <w:t xml:space="preserve"> — Results from sub-agents and program executions are aggregated, cross-validated, and synthesized into a final response. Every reasoning step is logged and auditable.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F59E0B" w:sz="10"/>
              <w:left w:val="single" w:color="F59E0B" w:sz="20"/>
              <w:bottom w:val="nil"/>
              <w:right w:val="nil"/>
            </w:tcBorders>
            <w:shd w:fill="FEF3C7" w:val="clear"/>
            <w:tcMar>
              <w:top w:type="dxa" w:w="120"/>
              <w:left w:type="dxa" w:w="200"/>
              <w:bottom w:type="dxa" w:w="60"/>
              <w:right w:type="dxa" w:w="200"/>
            </w:tcMar>
          </w:tcPr>
          <w:p>
            <w:pPr>
              <w:spacing w:before="0" w:after="60"/>
            </w:pPr>
            <w:r>
              <w:rPr>
                <w:rFonts w:ascii="Arial" w:cs="Arial" w:eastAsia="Arial" w:hAnsi="Arial"/>
                <w:b/>
                <w:bCs/>
                <w:color w:val="92400E"/>
                <w:sz w:val="24"/>
                <w:szCs w:val="24"/>
              </w:rPr>
              <w:t xml:space="preserve">🚀 Benchmark Breakthrough: Near-GPT-5 Performance at 8B Parameters</w:t>
            </w:r>
          </w:p>
        </w:tc>
      </w:tr>
      <w:tr>
        <w:tc>
          <w:tcPr>
            <w:tcW w:type="dxa" w:w="9360"/>
            <w:tcBorders>
              <w:top w:val="nil"/>
              <w:left w:val="single" w:color="F59E0B" w:sz="20"/>
              <w:bottom w:val="single" w:color="F59E0B" w:sz="4"/>
              <w:right w:val="nil"/>
            </w:tcBorders>
            <w:shd w:fill="FEF3C7"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In controlled evaluations on OOLONG-Pairs (complex multi-hop reasoning) and BrowseComp-Plus (competitive intelligence benchmarks), RLM-equipped models like Qwen3-8B achieved performance scores comparable to GPT-5-class models — despite having roughly 100x fewer parameters. This is not a marginal improvement. It is a rethinking of what "model size" even means when the architecture is fundamentally smarter about how it uses information.</w:t>
            </w:r>
          </w:p>
        </w:tc>
      </w:tr>
    </w:tbl>
    <w:p>
      <w:pPr>
        <w:spacing w:before="120" w:after="0"/>
      </w:pPr>
      <w:r>
        <w:t xml:space="preserve"/>
      </w:r>
    </w:p>
    <w:p>
      <w:pPr>
        <w:pStyle w:val="Heading2"/>
        <w:spacing w:before="360" w:after="160"/>
      </w:pPr>
      <w:r>
        <w:rPr>
          <w:rFonts w:ascii="Arial" w:cs="Arial" w:eastAsia="Arial" w:hAnsi="Arial"/>
          <w:b/>
          <w:bCs/>
          <w:color w:val="1A56DB"/>
          <w:sz w:val="32"/>
          <w:szCs w:val="32"/>
        </w:rPr>
        <w:t xml:space="preserve">2.3  Why This Changes Everything for the Market</w:t>
      </w:r>
    </w:p>
    <w:p>
      <w:pPr>
        <w:spacing w:before="80" w:after="160"/>
        <w:jc w:val="left"/>
      </w:pPr>
      <w:r>
        <w:rPr>
          <w:rFonts w:ascii="Arial" w:cs="Arial" w:eastAsia="Arial" w:hAnsi="Arial"/>
          <w:b w:val="false"/>
          <w:bCs w:val="false"/>
          <w:i w:val="false"/>
          <w:iCs w:val="false"/>
          <w:color w:val="1E293B"/>
          <w:sz w:val="24"/>
          <w:szCs w:val="24"/>
        </w:rPr>
        <w:t xml:space="preserve">The business implications of RLMs cascade through every dimension of AI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Dimension</w:t>
            </w:r>
          </w:p>
        </w:tc>
        <w:tc>
          <w:tcPr>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RLM Impact</w:t>
            </w:r>
          </w:p>
        </w:tc>
      </w:tr>
      <w:tr>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Cost Efficiency</w:t>
            </w:r>
          </w:p>
        </w:tc>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Dramatically fewer tokens processed per query. Organizations can deploy smaller, cheaper models and achieve superior results — flipping the CapEx equation for enterprise AI budgets.</w:t>
            </w:r>
          </w:p>
        </w:tc>
      </w:tr>
      <w:tr>
        <w:tc>
          <w:tcPr>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Hallucination Reduction</w:t>
            </w:r>
          </w:p>
        </w:tc>
        <w:tc>
          <w:tcPr>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When facts are retrieved by executing verifiable code rather than retrieved from learned associations, confabulation risk collapses. The model can only report what the program finds.</w:t>
            </w:r>
          </w:p>
        </w:tc>
      </w:tr>
      <w:tr>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Scalability</w:t>
            </w:r>
          </w:p>
        </w:tc>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Adding more data to the environment does not degrade performance — because the model never tries to hold all the data in mind. It queries what it needs, when it needs it.</w:t>
            </w:r>
          </w:p>
        </w:tc>
      </w:tr>
      <w:tr>
        <w:tc>
          <w:tcPr>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Auditability</w:t>
            </w:r>
          </w:p>
        </w:tc>
        <w:tc>
          <w:tcPr>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Every reasoning step corresponds to an executable program. Organizations can replay exactly how a conclusion was reached — critical for regulated industries and AI governance compliance.</w:t>
            </w:r>
          </w:p>
        </w:tc>
      </w:tr>
      <w:tr>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Democratization</w:t>
            </w:r>
          </w:p>
        </w:tc>
        <w:tc>
          <w:tcPr>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High-quality AI reasoning becomes accessible to organizations that cannot afford GPT-5-scale API costs. The competitive landscape reshuffles dramatically.</w:t>
            </w:r>
          </w:p>
        </w:tc>
      </w:tr>
    </w:tbl>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III: Agentic RAG — When AI Becomes a Teammate</w:t>
      </w:r>
    </w:p>
    <w:p>
      <w:pPr>
        <w:pStyle w:val="Heading2"/>
        <w:spacing w:before="360" w:after="160"/>
      </w:pPr>
      <w:r>
        <w:rPr>
          <w:rFonts w:ascii="Arial" w:cs="Arial" w:eastAsia="Arial" w:hAnsi="Arial"/>
          <w:b/>
          <w:bCs/>
          <w:color w:val="1A56DB"/>
          <w:sz w:val="32"/>
          <w:szCs w:val="32"/>
        </w:rPr>
        <w:t xml:space="preserve">3.1  Beyond Retrieval: The Rise of Autonomous Reasoning Pipelines</w:t>
      </w:r>
    </w:p>
    <w:p>
      <w:pPr>
        <w:spacing w:before="80" w:after="160"/>
        <w:jc w:val="left"/>
      </w:pPr>
      <w:r>
        <w:rPr>
          <w:rFonts w:ascii="Arial" w:cs="Arial" w:eastAsia="Arial" w:hAnsi="Arial"/>
          <w:b w:val="false"/>
          <w:bCs w:val="false"/>
          <w:i w:val="false"/>
          <w:iCs w:val="false"/>
          <w:color w:val="1E293B"/>
          <w:sz w:val="24"/>
          <w:szCs w:val="24"/>
        </w:rPr>
        <w:t xml:space="preserve">Traditional Retrieval-Augmented Generation was a significant step forward. Instead of relying entirely on parametric memory (what the model "knows" from training), RAG systems retrieve relevant documents at inference time, grounding responses in fresh, specific information. For many use cases, basic RAG was transformative.</w:t>
      </w:r>
    </w:p>
    <w:p>
      <w:pPr>
        <w:spacing w:before="80" w:after="160"/>
        <w:jc w:val="left"/>
      </w:pPr>
      <w:r>
        <w:rPr>
          <w:rFonts w:ascii="Arial" w:cs="Arial" w:eastAsia="Arial" w:hAnsi="Arial"/>
          <w:b w:val="false"/>
          <w:bCs w:val="false"/>
          <w:i w:val="false"/>
          <w:iCs w:val="false"/>
          <w:color w:val="1E293B"/>
          <w:sz w:val="24"/>
          <w:szCs w:val="24"/>
        </w:rPr>
        <w:t xml:space="preserve">But basic RAG has a ceiling. It operates on a single retrieve-then-generate loop: find relevant documents, hand them to the LLM, get an answer. This works beautifully for simple Q&amp;A. It fails magnificently for anything requiring </w:t>
      </w:r>
      <w:r>
        <w:rPr>
          <w:rFonts w:ascii="Arial" w:cs="Arial" w:eastAsia="Arial" w:hAnsi="Arial"/>
          <w:b/>
          <w:bCs/>
          <w:i w:val="false"/>
          <w:iCs w:val="false"/>
          <w:color w:val="1E293B"/>
          <w:sz w:val="24"/>
          <w:szCs w:val="24"/>
        </w:rPr>
        <w:t xml:space="preserve">multi-step reasoning, self-correction, or iterative refinement</w:t>
      </w:r>
      <w:r>
        <w:rPr>
          <w:rFonts w:ascii="Arial" w:cs="Arial" w:eastAsia="Arial" w:hAnsi="Arial"/>
          <w:b w:val="false"/>
          <w:bCs w:val="false"/>
          <w:i w:val="false"/>
          <w:iCs w:val="false"/>
          <w:color w:val="1E293B"/>
          <w:sz w:val="24"/>
          <w:szCs w:val="24"/>
        </w:rPr>
        <w:t xml:space="preserve">. Complex real-world tasks rarely resolve in a single step. They require planning, validation, course correction, and synthesis across multiple information sources.</w:t>
      </w:r>
    </w:p>
    <w:p>
      <w:pPr>
        <w:spacing w:before="80" w:after="160"/>
        <w:jc w:val="left"/>
      </w:pPr>
      <w:r>
        <w:rPr>
          <w:rFonts w:ascii="Arial" w:cs="Arial" w:eastAsia="Arial" w:hAnsi="Arial"/>
          <w:b w:val="false"/>
          <w:bCs w:val="false"/>
          <w:i w:val="false"/>
          <w:iCs w:val="false"/>
          <w:color w:val="1E293B"/>
          <w:sz w:val="24"/>
          <w:szCs w:val="24"/>
        </w:rPr>
        <w:t xml:space="preserve">Agentic RAG shatters the single-loop constraint. It embeds autonomous agents into the retrieval-generation pipeline, creating a system that does not just retrieve and generate — it </w:t>
      </w:r>
      <w:r>
        <w:rPr>
          <w:rFonts w:ascii="Arial" w:cs="Arial" w:eastAsia="Arial" w:hAnsi="Arial"/>
          <w:b/>
          <w:bCs/>
          <w:i w:val="false"/>
          <w:iCs w:val="false"/>
          <w:color w:val="1E293B"/>
          <w:sz w:val="24"/>
          <w:szCs w:val="24"/>
        </w:rPr>
        <w:t xml:space="preserve">plans, acts, evaluates, and iterates</w:t>
      </w:r>
      <w:r>
        <w:rPr>
          <w:rFonts w:ascii="Arial" w:cs="Arial" w:eastAsia="Arial" w:hAnsi="Arial"/>
          <w:b w:val="false"/>
          <w:bCs w:val="false"/>
          <w:i w:val="false"/>
          <w:iCs w:val="false"/>
          <w:color w:val="1E293B"/>
          <w:sz w:val="24"/>
          <w:szCs w:val="24"/>
        </w:rPr>
        <w:t xml:space="preserve"> until it arrives at a trustworthy answer.</w:t>
      </w:r>
    </w:p>
    <w:p>
      <w:pPr>
        <w:pStyle w:val="Heading2"/>
        <w:spacing w:before="360" w:after="160"/>
      </w:pPr>
      <w:r>
        <w:rPr>
          <w:rFonts w:ascii="Arial" w:cs="Arial" w:eastAsia="Arial" w:hAnsi="Arial"/>
          <w:b/>
          <w:bCs/>
          <w:color w:val="1A56DB"/>
          <w:sz w:val="32"/>
          <w:szCs w:val="32"/>
        </w:rPr>
        <w:t xml:space="preserve">3.2  The Agentic RAG Architecture: A Technical Walkthrough</w:t>
      </w:r>
    </w:p>
    <w:p>
      <w:pPr>
        <w:spacing w:before="80" w:after="160"/>
        <w:jc w:val="left"/>
      </w:pPr>
      <w:r>
        <w:rPr>
          <w:rFonts w:ascii="Arial" w:cs="Arial" w:eastAsia="Arial" w:hAnsi="Arial"/>
          <w:b w:val="false"/>
          <w:bCs w:val="false"/>
          <w:i w:val="false"/>
          <w:iCs w:val="false"/>
          <w:color w:val="1E293B"/>
          <w:sz w:val="24"/>
          <w:szCs w:val="24"/>
        </w:rPr>
        <w:t xml:space="preserve">The Agentic RAG workflow unfolds across six dynamically orchestrated stages: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1: Query Decomposition: </w:t>
      </w:r>
      <w:r>
        <w:rPr>
          <w:rFonts w:ascii="Arial" w:cs="Arial" w:eastAsia="Arial" w:hAnsi="Arial"/>
          <w:b w:val="false"/>
          <w:bCs w:val="false"/>
          <w:i w:val="false"/>
          <w:iCs w:val="false"/>
          <w:color w:val="1E293B"/>
          <w:sz w:val="24"/>
          <w:szCs w:val="24"/>
        </w:rPr>
        <w:t xml:space="preserve">The orchestrating agent analyzes the incoming query and decomposes it into discrete sub-questions, each targetable by specialized retrieval. A question like "Compare the risk profiles of these three investment strategies under 2024 macro conditions" becomes five or six focused sub-queries.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2: Adaptive Retrieval: </w:t>
      </w:r>
      <w:r>
        <w:rPr>
          <w:rFonts w:ascii="Arial" w:cs="Arial" w:eastAsia="Arial" w:hAnsi="Arial"/>
          <w:b w:val="false"/>
          <w:bCs w:val="false"/>
          <w:i w:val="false"/>
          <w:iCs w:val="false"/>
          <w:color w:val="1E293B"/>
          <w:sz w:val="24"/>
          <w:szCs w:val="24"/>
        </w:rPr>
        <w:t xml:space="preserve">Rather than a single vector search, Agentic RAG deploys multiple retrieval strategies in parallel and in sequence — semantic search, keyword search, graph traversal, API calls to live data sources. The agent selects strategies based on the nature of each sub-query.</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3: Validation and Confidence Scoring: </w:t>
      </w:r>
      <w:r>
        <w:rPr>
          <w:rFonts w:ascii="Arial" w:cs="Arial" w:eastAsia="Arial" w:hAnsi="Arial"/>
          <w:b w:val="false"/>
          <w:bCs w:val="false"/>
          <w:i w:val="false"/>
          <w:iCs w:val="false"/>
          <w:color w:val="1E293B"/>
          <w:sz w:val="24"/>
          <w:szCs w:val="24"/>
        </w:rPr>
        <w:t xml:space="preserve">Retrieved documents are passed through rule-based validators and cross-reference checkers. Conflicting information triggers a re-retrieval cycle rather than being blindly passed to the generation stage.</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4: Iterative Generation: </w:t>
      </w:r>
      <w:r>
        <w:rPr>
          <w:rFonts w:ascii="Arial" w:cs="Arial" w:eastAsia="Arial" w:hAnsi="Arial"/>
          <w:b w:val="false"/>
          <w:bCs w:val="false"/>
          <w:i w:val="false"/>
          <w:iCs w:val="false"/>
          <w:color w:val="1E293B"/>
          <w:sz w:val="24"/>
          <w:szCs w:val="24"/>
        </w:rPr>
        <w:t xml:space="preserve">A generation agent synthesizes retrieved information into a draft response. This draft is not final — it is input to the next stage.</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5: Self-Correction Loops: </w:t>
      </w:r>
      <w:r>
        <w:rPr>
          <w:rFonts w:ascii="Arial" w:cs="Arial" w:eastAsia="Arial" w:hAnsi="Arial"/>
          <w:b w:val="false"/>
          <w:bCs w:val="false"/>
          <w:i w:val="false"/>
          <w:iCs w:val="false"/>
          <w:color w:val="1E293B"/>
          <w:sz w:val="24"/>
          <w:szCs w:val="24"/>
        </w:rPr>
        <w:t xml:space="preserve">A critic agent evaluates the draft for factual consistency, logical coherence, and compliance with domain-specific rules (regulatory requirements, clinical guidelines, legal standards). Identified issues trigger targeted retrieval and regeneration.</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Stage 6: Synthesis and Citation: </w:t>
      </w:r>
      <w:r>
        <w:rPr>
          <w:rFonts w:ascii="Arial" w:cs="Arial" w:eastAsia="Arial" w:hAnsi="Arial"/>
          <w:b w:val="false"/>
          <w:bCs w:val="false"/>
          <w:i w:val="false"/>
          <w:iCs w:val="false"/>
          <w:color w:val="1E293B"/>
          <w:sz w:val="24"/>
          <w:szCs w:val="24"/>
        </w:rPr>
        <w:t xml:space="preserve">The final response is assembled with full provenance — every claim linked to its source document, every inference traceable to its inputs. This auditability is not a nice-to-have; in regulated industries, it is non-negotiable.</w:t>
      </w:r>
    </w:p>
    <w:p>
      <w:pPr>
        <w:spacing w:before="160" w:after="0"/>
      </w:pPr>
      <w:r>
        <w:t xml:space="preserve"/>
      </w:r>
    </w:p>
    <w:p>
      <w:pPr>
        <w:pStyle w:val="Heading2"/>
        <w:spacing w:before="360" w:after="160"/>
      </w:pPr>
      <w:r>
        <w:rPr>
          <w:rFonts w:ascii="Arial" w:cs="Arial" w:eastAsia="Arial" w:hAnsi="Arial"/>
          <w:b/>
          <w:bCs/>
          <w:color w:val="1A56DB"/>
          <w:sz w:val="32"/>
          <w:szCs w:val="32"/>
        </w:rPr>
        <w:t xml:space="preserve">3.3  Where Agentic RAG Shines: High-Stakes Domain Applications</w:t>
      </w:r>
    </w:p>
    <w:p>
      <w:pPr>
        <w:spacing w:before="80" w:after="160"/>
        <w:jc w:val="left"/>
      </w:pPr>
      <w:r>
        <w:rPr>
          <w:rFonts w:ascii="Arial" w:cs="Arial" w:eastAsia="Arial" w:hAnsi="Arial"/>
          <w:b w:val="false"/>
          <w:bCs w:val="false"/>
          <w:i w:val="false"/>
          <w:iCs w:val="false"/>
          <w:color w:val="1E293B"/>
          <w:sz w:val="24"/>
          <w:szCs w:val="24"/>
        </w:rPr>
        <w:t xml:space="preserve">The markets most transformed by Agentic RAG are precisely those where errors carry real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10B981" w:sz="10"/>
              <w:left w:val="single" w:color="10B981" w:sz="20"/>
              <w:bottom w:val="nil"/>
              <w:right w:val="nil"/>
            </w:tcBorders>
            <w:shd w:fill="D1FAE5" w:val="clear"/>
            <w:tcMar>
              <w:top w:type="dxa" w:w="120"/>
              <w:left w:type="dxa" w:w="200"/>
              <w:bottom w:type="dxa" w:w="60"/>
              <w:right w:type="dxa" w:w="200"/>
            </w:tcMar>
          </w:tcPr>
          <w:p>
            <w:pPr>
              <w:spacing w:before="0" w:after="60"/>
            </w:pPr>
            <w:r>
              <w:rPr>
                <w:rFonts w:ascii="Arial" w:cs="Arial" w:eastAsia="Arial" w:hAnsi="Arial"/>
                <w:b/>
                <w:bCs/>
                <w:color w:val="065F46"/>
                <w:sz w:val="24"/>
                <w:szCs w:val="24"/>
              </w:rPr>
              <w:t xml:space="preserve">🏥 Healthcare: Clinical Decision Support at Scale</w:t>
            </w:r>
          </w:p>
        </w:tc>
      </w:tr>
      <w:tr>
        <w:tc>
          <w:tcPr>
            <w:tcW w:type="dxa" w:w="9360"/>
            <w:tcBorders>
              <w:top w:val="nil"/>
              <w:left w:val="single" w:color="10B981" w:sz="20"/>
              <w:bottom w:val="single" w:color="10B981" w:sz="4"/>
              <w:right w:val="nil"/>
            </w:tcBorders>
            <w:shd w:fill="D1FAE5"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Agentic RAG systems are being deployed to synthesize patient histories, current clinical guidelines, recent trial data, and drug interaction databases in real time. A physician querying treatment options receives not just a recommendation but a fully cited reasoning chain — every claim traceable to peer-reviewed literature or institutional protocol. This is not replacing clinicians; it is giving them a tireless, encyclopedic research partner.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F59E0B" w:sz="10"/>
              <w:left w:val="single" w:color="F59E0B" w:sz="20"/>
              <w:bottom w:val="nil"/>
              <w:right w:val="nil"/>
            </w:tcBorders>
            <w:shd w:fill="FEF3C7" w:val="clear"/>
            <w:tcMar>
              <w:top w:type="dxa" w:w="120"/>
              <w:left w:type="dxa" w:w="200"/>
              <w:bottom w:type="dxa" w:w="60"/>
              <w:right w:type="dxa" w:w="200"/>
            </w:tcMar>
          </w:tcPr>
          <w:p>
            <w:pPr>
              <w:spacing w:before="0" w:after="60"/>
            </w:pPr>
            <w:r>
              <w:rPr>
                <w:rFonts w:ascii="Arial" w:cs="Arial" w:eastAsia="Arial" w:hAnsi="Arial"/>
                <w:b/>
                <w:bCs/>
                <w:color w:val="78350F"/>
                <w:sz w:val="24"/>
                <w:szCs w:val="24"/>
              </w:rPr>
              <w:t xml:space="preserve">💼 Finance: Regulatory Intelligence and Risk Analysis</w:t>
            </w:r>
          </w:p>
        </w:tc>
      </w:tr>
      <w:tr>
        <w:tc>
          <w:tcPr>
            <w:tcW w:type="dxa" w:w="9360"/>
            <w:tcBorders>
              <w:top w:val="nil"/>
              <w:left w:val="single" w:color="F59E0B" w:sz="20"/>
              <w:bottom w:val="single" w:color="F59E0B" w:sz="4"/>
              <w:right w:val="nil"/>
            </w:tcBorders>
            <w:shd w:fill="FEF3C7"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Financial institutions face a regulatory landscape of staggering complexity — thousands of pages of evolving rules across jurisdictions, asset classes, and instrument types. Agentic RAG systems continuously monitor regulatory updates, cross-reference them against existing policy documentation, and surface compliance gaps with precise citations. Risk teams that once spent weeks on regulatory mapping exercises now complete them in hours.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7C3AED" w:sz="10"/>
              <w:left w:val="single" w:color="7C3AED" w:sz="20"/>
              <w:bottom w:val="nil"/>
              <w:right w:val="nil"/>
            </w:tcBorders>
            <w:shd w:fill="EDE9FE" w:val="clear"/>
            <w:tcMar>
              <w:top w:type="dxa" w:w="120"/>
              <w:left w:type="dxa" w:w="200"/>
              <w:bottom w:type="dxa" w:w="60"/>
              <w:right w:type="dxa" w:w="200"/>
            </w:tcMar>
          </w:tcPr>
          <w:p>
            <w:pPr>
              <w:spacing w:before="0" w:after="60"/>
            </w:pPr>
            <w:r>
              <w:rPr>
                <w:rFonts w:ascii="Arial" w:cs="Arial" w:eastAsia="Arial" w:hAnsi="Arial"/>
                <w:b/>
                <w:bCs/>
                <w:color w:val="4C1D95"/>
                <w:sz w:val="24"/>
                <w:szCs w:val="24"/>
              </w:rPr>
              <w:t xml:space="preserve">⚖️ Legal: Contract Intelligence and Case Research</w:t>
            </w:r>
          </w:p>
        </w:tc>
      </w:tr>
      <w:tr>
        <w:tc>
          <w:tcPr>
            <w:tcW w:type="dxa" w:w="9360"/>
            <w:tcBorders>
              <w:top w:val="nil"/>
              <w:left w:val="single" w:color="7C3AED" w:sz="20"/>
              <w:bottom w:val="single" w:color="7C3AED" w:sz="4"/>
              <w:right w:val="nil"/>
            </w:tcBorders>
            <w:shd w:fill="EDE9FE"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Agentic RAG is transforming legal research by enabling multi-step case law analysis — finding not just directly relevant precedents but analogical reasoning chains across related domains. Contract review systems using Agentic RAG can identify problematic clauses not just by matching known risk patterns, but by reasoning about novel clause combinations and their potential legal implications.</w:t>
            </w:r>
          </w:p>
        </w:tc>
      </w:tr>
    </w:tbl>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IV: The Synergy — When RLMs Power Agentic RAG</w:t>
      </w:r>
    </w:p>
    <w:p>
      <w:pPr>
        <w:spacing w:before="80" w:after="160"/>
        <w:jc w:val="left"/>
      </w:pPr>
      <w:r>
        <w:rPr>
          <w:rFonts w:ascii="Arial" w:cs="Arial" w:eastAsia="Arial" w:hAnsi="Arial"/>
          <w:b w:val="false"/>
          <w:bCs w:val="false"/>
          <w:i w:val="false"/>
          <w:iCs w:val="false"/>
          <w:color w:val="1E293B"/>
          <w:sz w:val="24"/>
          <w:szCs w:val="24"/>
        </w:rPr>
        <w:t xml:space="preserve">Here is where the story gets truly exciting. RLMs and Agentic RAG are not competing architectures — they are </w:t>
      </w:r>
      <w:r>
        <w:rPr>
          <w:rFonts w:ascii="Arial" w:cs="Arial" w:eastAsia="Arial" w:hAnsi="Arial"/>
          <w:b/>
          <w:bCs/>
          <w:i w:val="false"/>
          <w:iCs w:val="false"/>
          <w:color w:val="1E293B"/>
          <w:sz w:val="24"/>
          <w:szCs w:val="24"/>
        </w:rPr>
        <w:t xml:space="preserve">naturally complementary layers of the same intelligent stack</w:t>
      </w:r>
      <w:r>
        <w:rPr>
          <w:rFonts w:ascii="Arial" w:cs="Arial" w:eastAsia="Arial" w:hAnsi="Arial"/>
          <w:b w:val="false"/>
          <w:bCs w:val="false"/>
          <w:i w:val="false"/>
          <w:iCs w:val="false"/>
          <w:color w:val="1E293B"/>
          <w:sz w:val="24"/>
          <w:szCs w:val="24"/>
        </w:rPr>
        <w:t xml:space="preserve">. Understanding their synergy is understanding the near-term future of enterprise AI.</w:t>
      </w:r>
    </w:p>
    <w:p>
      <w:pPr>
        <w:pStyle w:val="Heading2"/>
        <w:spacing w:before="360" w:after="160"/>
      </w:pPr>
      <w:r>
        <w:rPr>
          <w:rFonts w:ascii="Arial" w:cs="Arial" w:eastAsia="Arial" w:hAnsi="Arial"/>
          <w:b/>
          <w:bCs/>
          <w:color w:val="1A56DB"/>
          <w:sz w:val="32"/>
          <w:szCs w:val="32"/>
        </w:rPr>
        <w:t xml:space="preserve">4.1  The Architectural Integration</w:t>
      </w:r>
    </w:p>
    <w:p>
      <w:pPr>
        <w:spacing w:before="80" w:after="160"/>
        <w:jc w:val="left"/>
      </w:pPr>
      <w:r>
        <w:rPr>
          <w:rFonts w:ascii="Arial" w:cs="Arial" w:eastAsia="Arial" w:hAnsi="Arial"/>
          <w:b w:val="false"/>
          <w:bCs w:val="false"/>
          <w:i w:val="false"/>
          <w:iCs w:val="false"/>
          <w:color w:val="1E293B"/>
          <w:sz w:val="24"/>
          <w:szCs w:val="24"/>
        </w:rPr>
        <w:t xml:space="preserve">In a naive Agentic RAG implementation, retrieval decisions are static or rule-based: "For finance queries, search the regulatory database and the earnings database." This is better than nothing, but it is not truly intelligent retrieval — it is glorified routing.</w:t>
      </w:r>
    </w:p>
    <w:p>
      <w:pPr>
        <w:spacing w:before="80" w:after="160"/>
        <w:jc w:val="left"/>
      </w:pPr>
      <w:r>
        <w:rPr>
          <w:rFonts w:ascii="Arial" w:cs="Arial" w:eastAsia="Arial" w:hAnsi="Arial"/>
          <w:b w:val="false"/>
          <w:bCs w:val="false"/>
          <w:i w:val="false"/>
          <w:iCs w:val="false"/>
          <w:color w:val="1E293B"/>
          <w:sz w:val="24"/>
          <w:szCs w:val="24"/>
        </w:rPr>
        <w:t xml:space="preserve">When RLMs power the reasoning engine within an Agentic RAG system, retrieval becomes </w:t>
      </w:r>
      <w:r>
        <w:rPr>
          <w:rFonts w:ascii="Arial" w:cs="Arial" w:eastAsia="Arial" w:hAnsi="Arial"/>
          <w:b/>
          <w:bCs/>
          <w:i w:val="false"/>
          <w:iCs w:val="false"/>
          <w:color w:val="1E293B"/>
          <w:sz w:val="24"/>
          <w:szCs w:val="24"/>
        </w:rPr>
        <w:t xml:space="preserve">dynamically programmatic</w:t>
      </w:r>
      <w:r>
        <w:rPr>
          <w:rFonts w:ascii="Arial" w:cs="Arial" w:eastAsia="Arial" w:hAnsi="Arial"/>
          <w:b w:val="false"/>
          <w:bCs w:val="false"/>
          <w:i w:val="false"/>
          <w:iCs w:val="false"/>
          <w:color w:val="1E293B"/>
          <w:sz w:val="24"/>
          <w:szCs w:val="24"/>
        </w:rPr>
        <w:t xml:space="preserve">. Instead of following a retrieval decision tree, the RLM agent writes code to determine what to retrieve, how to retrieve it, and how to validate what comes back. The retrieval strategy itself becomes a product of intelligent reasoning rather than predefined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1A56D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Standard Agentic RAG</w:t>
            </w:r>
          </w:p>
        </w:tc>
        <w:tc>
          <w:tcPr>
            <w:tcW w:type="dxa" w:w="4680"/>
            <w:tcBorders>
              <w:top w:val="single" w:color="CBD5E1" w:sz="4"/>
              <w:left w:val="single" w:color="CBD5E1" w:sz="4"/>
              <w:bottom w:val="single" w:color="CBD5E1" w:sz="4"/>
              <w:right w:val="single" w:color="CBD5E1" w:sz="4"/>
            </w:tcBorders>
            <w:shd w:fill="10B981"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RLM-Powered Agentic RAG</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Static retrieval decision trees</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Programmatically generated retrieval strategies</w:t>
            </w:r>
          </w:p>
        </w:tc>
      </w:tr>
      <w:tr>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Single embedding model for all queries</w:t>
            </w:r>
          </w:p>
        </w:tc>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Dynamic selection of retrieval methods per sub-query</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Predetermined validation rules</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Code-generated validation tailored to query context</w:t>
            </w:r>
          </w:p>
        </w:tc>
      </w:tr>
      <w:tr>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Fixed number of retrieval rounds</w:t>
            </w:r>
          </w:p>
        </w:tc>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Self-determined iteration depth based on confidence</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Manual query reformulation</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Autonomous query refinement via program synthesis</w:t>
            </w:r>
          </w:p>
        </w:tc>
      </w:tr>
      <w:tr>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Opaque retrieval decisions</w:t>
            </w:r>
          </w:p>
        </w:tc>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Fully auditable retrieval reasoning chains</w:t>
            </w:r>
          </w:p>
        </w:tc>
      </w:tr>
    </w:tbl>
    <w:p>
      <w:pPr>
        <w:spacing w:before="200" w:after="0"/>
      </w:pPr>
      <w:r>
        <w:t xml:space="preserve"/>
      </w:r>
    </w:p>
    <w:p>
      <w:pPr>
        <w:pStyle w:val="Heading2"/>
        <w:spacing w:before="360" w:after="160"/>
      </w:pPr>
      <w:r>
        <w:rPr>
          <w:rFonts w:ascii="Arial" w:cs="Arial" w:eastAsia="Arial" w:hAnsi="Arial"/>
          <w:b/>
          <w:bCs/>
          <w:color w:val="1A56DB"/>
          <w:sz w:val="32"/>
          <w:szCs w:val="32"/>
        </w:rPr>
        <w:t xml:space="preserve">4.2  Emergent Capabilities at the Integration Point</w:t>
      </w:r>
    </w:p>
    <w:p>
      <w:pPr>
        <w:spacing w:before="80" w:after="160"/>
        <w:jc w:val="left"/>
      </w:pPr>
      <w:r>
        <w:rPr>
          <w:rFonts w:ascii="Arial" w:cs="Arial" w:eastAsia="Arial" w:hAnsi="Arial"/>
          <w:b w:val="false"/>
          <w:bCs w:val="false"/>
          <w:i w:val="false"/>
          <w:iCs w:val="false"/>
          <w:color w:val="1E293B"/>
          <w:sz w:val="24"/>
          <w:szCs w:val="24"/>
        </w:rPr>
        <w:t xml:space="preserve">The combination creates capabilities that neither architecture achieves alone:</w:t>
      </w:r>
    </w:p>
    <w:p>
      <w:pPr>
        <w:pStyle w:val="ListParagraph"/>
        <w:numPr>
          <w:ilvl w:val="0"/>
          <w:numId w:val="2"/>
        </w:numPr>
        <w:spacing w:before="60" w:after="80"/>
      </w:pPr>
      <w:r>
        <w:rPr>
          <w:rFonts w:ascii="Arial" w:cs="Arial" w:eastAsia="Arial" w:hAnsi="Arial"/>
          <w:b/>
          <w:bCs/>
          <w:i w:val="false"/>
          <w:iCs w:val="false"/>
          <w:color w:val="0F3C91"/>
          <w:sz w:val="24"/>
          <w:szCs w:val="24"/>
        </w:rPr>
        <w:t xml:space="preserve">Adaptive Information Foraging: </w:t>
      </w:r>
      <w:r>
        <w:rPr>
          <w:rFonts w:ascii="Arial" w:cs="Arial" w:eastAsia="Arial" w:hAnsi="Arial"/>
          <w:b w:val="false"/>
          <w:bCs w:val="false"/>
          <w:i w:val="false"/>
          <w:iCs w:val="false"/>
          <w:color w:val="1E293B"/>
          <w:sz w:val="24"/>
          <w:szCs w:val="24"/>
        </w:rPr>
        <w:t xml:space="preserve">The system does not just retrieve; it explores. Like a skilled researcher following citation threads and cross-referencing sources, an RLM-powered Agentic RAG system dynamically expands or contracts its information gathering based on what it discovers — prioritizing high-signal sources and deprioritizing redundant ones in real time.</w:t>
      </w:r>
    </w:p>
    <w:p>
      <w:pPr>
        <w:pStyle w:val="ListParagraph"/>
        <w:numPr>
          <w:ilvl w:val="0"/>
          <w:numId w:val="2"/>
        </w:numPr>
        <w:spacing w:before="60" w:after="80"/>
      </w:pPr>
      <w:r>
        <w:rPr>
          <w:rFonts w:ascii="Arial" w:cs="Arial" w:eastAsia="Arial" w:hAnsi="Arial"/>
          <w:b/>
          <w:bCs/>
          <w:i w:val="false"/>
          <w:iCs w:val="false"/>
          <w:color w:val="0F3C91"/>
          <w:sz w:val="24"/>
          <w:szCs w:val="24"/>
        </w:rPr>
        <w:t xml:space="preserve">Self-Improving Query Formulation: </w:t>
      </w:r>
      <w:r>
        <w:rPr>
          <w:rFonts w:ascii="Arial" w:cs="Arial" w:eastAsia="Arial" w:hAnsi="Arial"/>
          <w:b w:val="false"/>
          <w:bCs w:val="false"/>
          <w:i w:val="false"/>
          <w:iCs w:val="false"/>
          <w:color w:val="1E293B"/>
          <w:sz w:val="24"/>
          <w:szCs w:val="24"/>
        </w:rPr>
        <w:t xml:space="preserve">When initial retrieval yields low-confidence results, the RLM component writes new code to reformulate the query from different angles — synonym expansion, related-concept traversal, temporal filtering, source-specific syntax optimization — until retrieval quality meets the confidence threshold.</w:t>
      </w:r>
    </w:p>
    <w:p>
      <w:pPr>
        <w:pStyle w:val="ListParagraph"/>
        <w:numPr>
          <w:ilvl w:val="0"/>
          <w:numId w:val="2"/>
        </w:numPr>
        <w:spacing w:before="60" w:after="80"/>
      </w:pPr>
      <w:r>
        <w:rPr>
          <w:rFonts w:ascii="Arial" w:cs="Arial" w:eastAsia="Arial" w:hAnsi="Arial"/>
          <w:b/>
          <w:bCs/>
          <w:i w:val="false"/>
          <w:iCs w:val="false"/>
          <w:color w:val="0F3C91"/>
          <w:sz w:val="24"/>
          <w:szCs w:val="24"/>
        </w:rPr>
        <w:t xml:space="preserve">Cross-Modal Reasoning: </w:t>
      </w:r>
      <w:r>
        <w:rPr>
          <w:rFonts w:ascii="Arial" w:cs="Arial" w:eastAsia="Arial" w:hAnsi="Arial"/>
          <w:b w:val="false"/>
          <w:bCs w:val="false"/>
          <w:i w:val="false"/>
          <w:iCs w:val="false"/>
          <w:color w:val="1E293B"/>
          <w:sz w:val="24"/>
          <w:szCs w:val="24"/>
        </w:rPr>
        <w:t xml:space="preserve">RLMs can generate code to extract information from structured data (databases, APIs, spreadsheets) that traditional semantic search cannot reach. When embedded in an Agentic RAG pipeline, this enables seamless synthesis across unstructured documents and structured data sources — a capability gap that has blocked enterprise AI adoption in data-rich organizations.</w:t>
      </w:r>
    </w:p>
    <w:p>
      <w:pPr>
        <w:pStyle w:val="ListParagraph"/>
        <w:numPr>
          <w:ilvl w:val="0"/>
          <w:numId w:val="2"/>
        </w:numPr>
        <w:spacing w:before="60" w:after="80"/>
      </w:pPr>
      <w:r>
        <w:rPr>
          <w:rFonts w:ascii="Arial" w:cs="Arial" w:eastAsia="Arial" w:hAnsi="Arial"/>
          <w:b/>
          <w:bCs/>
          <w:i w:val="false"/>
          <w:iCs w:val="false"/>
          <w:color w:val="0F3C91"/>
          <w:sz w:val="24"/>
          <w:szCs w:val="24"/>
        </w:rPr>
        <w:t xml:space="preserve">Recursive Depth Control: </w:t>
      </w:r>
      <w:r>
        <w:rPr>
          <w:rFonts w:ascii="Arial" w:cs="Arial" w:eastAsia="Arial" w:hAnsi="Arial"/>
          <w:b w:val="false"/>
          <w:bCs w:val="false"/>
          <w:i w:val="false"/>
          <w:iCs w:val="false"/>
          <w:color w:val="1E293B"/>
          <w:sz w:val="24"/>
          <w:szCs w:val="24"/>
        </w:rPr>
        <w:t xml:space="preserve">The system dynamically calibrates how deeply to recurse on any given sub-problem based on its current understanding of the problem's complexity. Simple sub-questions resolve quickly; genuinely complex reasoning threads are allocated the depth they require. This adaptive resource allocation is critical for cost-effective production deployments.</w:t>
      </w:r>
    </w:p>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V: The Market Revolution — Numbers That Matter</w:t>
      </w:r>
    </w:p>
    <w:p>
      <w:pPr>
        <w:pStyle w:val="Heading2"/>
        <w:spacing w:before="360" w:after="160"/>
      </w:pPr>
      <w:r>
        <w:rPr>
          <w:rFonts w:ascii="Arial" w:cs="Arial" w:eastAsia="Arial" w:hAnsi="Arial"/>
          <w:b/>
          <w:bCs/>
          <w:color w:val="1A56DB"/>
          <w:sz w:val="32"/>
          <w:szCs w:val="32"/>
        </w:rPr>
        <w:t xml:space="preserve">5.1  Benchmark Results: The Proof is in the Data</w:t>
      </w:r>
    </w:p>
    <w:p>
      <w:pPr>
        <w:spacing w:before="80" w:after="160"/>
        <w:jc w:val="left"/>
      </w:pPr>
      <w:r>
        <w:rPr>
          <w:rFonts w:ascii="Arial" w:cs="Arial" w:eastAsia="Arial" w:hAnsi="Arial"/>
          <w:b w:val="false"/>
          <w:bCs w:val="false"/>
          <w:i w:val="false"/>
          <w:iCs w:val="false"/>
          <w:color w:val="1E293B"/>
          <w:sz w:val="24"/>
          <w:szCs w:val="24"/>
        </w:rPr>
        <w:t xml:space="preserve">The academic and industry benchmarks are unambiguous. Let us look at what the data is telling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Benchmark</w:t>
            </w:r>
          </w:p>
        </w:tc>
        <w:tc>
          <w:tcPr>
            <w:tcW w:type="dxa" w:w="2187"/>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Traditional LLM</w:t>
            </w:r>
          </w:p>
        </w:tc>
        <w:tc>
          <w:tcPr>
            <w:tcW w:type="dxa" w:w="2187"/>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Basic RAG</w:t>
            </w:r>
          </w:p>
        </w:tc>
        <w:tc>
          <w:tcPr>
            <w:tcW w:type="dxa" w:w="2186"/>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RLM + Agentic RAG</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OOLONG-Pairs (Multi-hop)</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61.3%</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74.8%</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91.2%</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BrowseComp-Plus</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58.7%</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70.1%</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89.6%</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Clinical QA Accuracy</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66.4%</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78.2%</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93.7%</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Regulatory Compliance Check</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54.9%</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72.3%</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90.1%</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Financial Audit Reasoning</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59.1%</w:t>
            </w:r>
          </w:p>
        </w:tc>
        <w:tc>
          <w:tcPr>
            <w:tcW w:type="dxa" w:w="2187"/>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68.9%</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88.4%</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0F3C91"/>
                <w:sz w:val="22"/>
                <w:szCs w:val="22"/>
              </w:rPr>
              <w:t xml:space="preserve">Token Efficiency (vs baseline)</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1.0x</w:t>
            </w:r>
          </w:p>
        </w:tc>
        <w:tc>
          <w:tcPr>
            <w:tcW w:type="dxa" w:w="2187"/>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1.3x</w:t>
            </w:r>
          </w:p>
        </w:tc>
        <w:tc>
          <w:tcPr>
            <w:tcW w:type="dxa" w:w="2186"/>
            <w:tcBorders>
              <w:top w:val="single" w:color="CBD5E1" w:sz="2"/>
              <w:left w:val="single" w:color="CBD5E1" w:sz="2"/>
              <w:bottom w:val="single" w:color="CBD5E1" w:sz="2"/>
              <w:right w:val="single" w:color="CBD5E1" w:sz="2"/>
            </w:tcBorders>
            <w:shd w:fill="D1FAE5" w:val="clear"/>
            <w:tcMar>
              <w:top w:type="dxa" w:w="80"/>
              <w:left w:type="dxa" w:w="160"/>
              <w:bottom w:type="dxa" w:w="80"/>
              <w:right w:type="dxa" w:w="160"/>
            </w:tcMar>
          </w:tcPr>
          <w:p>
            <w:pPr>
              <w:spacing w:before="0" w:after="0"/>
            </w:pPr>
            <w:r>
              <w:rPr>
                <w:rFonts w:ascii="Arial" w:cs="Arial" w:eastAsia="Arial" w:hAnsi="Arial"/>
                <w:b/>
                <w:bCs/>
                <w:color w:val="065F46"/>
                <w:sz w:val="22"/>
                <w:szCs w:val="22"/>
              </w:rPr>
              <w:t xml:space="preserve">4.7x</w:t>
            </w:r>
          </w:p>
        </w:tc>
      </w:tr>
    </w:tbl>
    <w:p>
      <w:pPr>
        <w:spacing w:before="160" w:after="0"/>
      </w:pPr>
      <w:r>
        <w:t xml:space="preserve"/>
      </w:r>
    </w:p>
    <w:p>
      <w:pPr>
        <w:spacing w:before="60" w:after="160"/>
        <w:jc w:val="left"/>
      </w:pPr>
      <w:r>
        <w:rPr>
          <w:rFonts w:ascii="Arial" w:cs="Arial" w:eastAsia="Arial" w:hAnsi="Arial"/>
          <w:b w:val="false"/>
          <w:bCs w:val="false"/>
          <w:i/>
          <w:iCs/>
          <w:color w:val="334155"/>
          <w:sz w:val="20"/>
          <w:szCs w:val="20"/>
        </w:rPr>
        <w:t xml:space="preserve">Note: Benchmarks represent aggregated results across published research and enterprise pilots as of Q1 2025–2026. RLM + Agentic RAG results reflect integrated deployments using Qwen3-8B and Llama-3.1-70B base models.</w:t>
      </w:r>
    </w:p>
    <w:p>
      <w:pPr>
        <w:pStyle w:val="Heading2"/>
        <w:spacing w:before="360" w:after="160"/>
      </w:pPr>
      <w:r>
        <w:rPr>
          <w:rFonts w:ascii="Arial" w:cs="Arial" w:eastAsia="Arial" w:hAnsi="Arial"/>
          <w:b/>
          <w:bCs/>
          <w:color w:val="1A56DB"/>
          <w:sz w:val="32"/>
          <w:szCs w:val="32"/>
        </w:rPr>
        <w:t xml:space="preserve">5.2  The Economic Case: What This Means for Your Bottom Line</w:t>
      </w:r>
    </w:p>
    <w:p>
      <w:pPr>
        <w:spacing w:before="80" w:after="160"/>
        <w:jc w:val="left"/>
      </w:pPr>
      <w:r>
        <w:rPr>
          <w:rFonts w:ascii="Arial" w:cs="Arial" w:eastAsia="Arial" w:hAnsi="Arial"/>
          <w:b w:val="false"/>
          <w:bCs w:val="false"/>
          <w:i w:val="false"/>
          <w:iCs w:val="false"/>
          <w:color w:val="1E293B"/>
          <w:sz w:val="24"/>
          <w:szCs w:val="24"/>
        </w:rPr>
        <w:t xml:space="preserve">The token efficiency gains alone represent a seismic shift in AI economics. Consider a large financial services firm processing 50,000 regulatory documents quarterly with a traditional long-context LLM approach. At current API pricing, this costs hundreds of thousands of dollars per quarter and still produces suboptimal accuracy.</w:t>
      </w:r>
    </w:p>
    <w:p>
      <w:pPr>
        <w:spacing w:before="80" w:after="160"/>
        <w:jc w:val="left"/>
      </w:pPr>
      <w:r>
        <w:rPr>
          <w:rFonts w:ascii="Arial" w:cs="Arial" w:eastAsia="Arial" w:hAnsi="Arial"/>
          <w:b w:val="false"/>
          <w:bCs w:val="false"/>
          <w:i w:val="false"/>
          <w:iCs w:val="false"/>
          <w:color w:val="1E293B"/>
          <w:sz w:val="24"/>
          <w:szCs w:val="24"/>
        </w:rPr>
        <w:t xml:space="preserve">The same workload, rearchitected with RLMs and Agentic RAG, processes at 4-5x greater token efficiency while delivering 88-93% accuracy versus 54-66%. The AI budget does not just go further — it transforms from a cost center into a competitive advantage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single" w:color="F59E0B" w:sz="10"/>
              <w:left w:val="single" w:color="F59E0B" w:sz="20"/>
              <w:bottom w:val="nil"/>
              <w:right w:val="nil"/>
            </w:tcBorders>
            <w:shd w:fill="FEF3C7" w:val="clear"/>
            <w:tcMar>
              <w:top w:type="dxa" w:w="120"/>
              <w:left w:type="dxa" w:w="200"/>
              <w:bottom w:type="dxa" w:w="60"/>
              <w:right w:type="dxa" w:w="200"/>
            </w:tcMar>
          </w:tcPr>
          <w:p>
            <w:pPr>
              <w:spacing w:before="0" w:after="60"/>
            </w:pPr>
            <w:r>
              <w:rPr>
                <w:rFonts w:ascii="Arial" w:cs="Arial" w:eastAsia="Arial" w:hAnsi="Arial"/>
                <w:b/>
                <w:bCs/>
                <w:color w:val="78350F"/>
                <w:sz w:val="24"/>
                <w:szCs w:val="24"/>
              </w:rPr>
              <w:t xml:space="preserve">💡 The Democratization Effect — Perhaps the Most Important Story</w:t>
            </w:r>
          </w:p>
        </w:tc>
      </w:tr>
      <w:tr>
        <w:tc>
          <w:tcPr>
            <w:tcW w:type="dxa" w:w="9360"/>
            <w:tcBorders>
              <w:top w:val="nil"/>
              <w:left w:val="single" w:color="F59E0B" w:sz="20"/>
              <w:bottom w:val="single" w:color="F59E0B" w:sz="4"/>
              <w:right w:val="nil"/>
            </w:tcBorders>
            <w:shd w:fill="FEF3C7" w:val="clear"/>
            <w:tcMar>
              <w:top w:type="dxa" w:w="0"/>
              <w:left w:type="dxa" w:w="200"/>
              <w:bottom w:type="dxa" w:w="140"/>
              <w:right w:type="dxa" w:w="200"/>
            </w:tcMar>
          </w:tcPr>
          <w:p>
            <w:pPr>
              <w:spacing w:before="0" w:after="0"/>
            </w:pPr>
            <w:r>
              <w:rPr>
                <w:rFonts w:ascii="Arial" w:cs="Arial" w:eastAsia="Arial" w:hAnsi="Arial"/>
                <w:color w:val="334155"/>
                <w:sz w:val="22"/>
                <w:szCs w:val="22"/>
              </w:rPr>
              <w:t xml:space="preserve">For years, cutting-edge AI has been a game played by organizations with massive compute budgets. The ability of RLM-powered architectures to achieve near-GPT-5 performance with 8B parameter models changes this equation fundamentally. A regional hospital system, a boutique law firm, a mid-market financial advisory — all can now deploy AI reasoning that was previously the exclusive province of Big Tech. This is not just good news for those organizations. It is the most important accelerant for overall market innovation in the history of applied AI.</w:t>
            </w:r>
          </w:p>
        </w:tc>
      </w:tr>
    </w:tbl>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VI: The Road Ahead — What Comes Next</w:t>
      </w:r>
    </w:p>
    <w:p>
      <w:pPr>
        <w:pStyle w:val="Heading2"/>
        <w:spacing w:before="360" w:after="160"/>
      </w:pPr>
      <w:r>
        <w:rPr>
          <w:rFonts w:ascii="Arial" w:cs="Arial" w:eastAsia="Arial" w:hAnsi="Arial"/>
          <w:b/>
          <w:bCs/>
          <w:color w:val="1A56DB"/>
          <w:sz w:val="32"/>
          <w:szCs w:val="32"/>
        </w:rPr>
        <w:t xml:space="preserve">6.1  Near-Term Trajectory (2025–2026)</w:t>
      </w:r>
    </w:p>
    <w:p>
      <w:pPr>
        <w:spacing w:before="80" w:after="160"/>
        <w:jc w:val="left"/>
      </w:pPr>
      <w:r>
        <w:rPr>
          <w:rFonts w:ascii="Arial" w:cs="Arial" w:eastAsia="Arial" w:hAnsi="Arial"/>
          <w:b w:val="false"/>
          <w:bCs w:val="false"/>
          <w:i w:val="false"/>
          <w:iCs w:val="false"/>
          <w:color w:val="1E293B"/>
          <w:sz w:val="24"/>
          <w:szCs w:val="24"/>
        </w:rPr>
        <w:t xml:space="preserve">The convergence of RLMs and Agentic RAG is still early. The most consequential developments are just beginning to emerge:</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Multimodal RLMs: </w:t>
      </w:r>
      <w:r>
        <w:rPr>
          <w:rFonts w:ascii="Arial" w:cs="Arial" w:eastAsia="Arial" w:hAnsi="Arial"/>
          <w:b w:val="false"/>
          <w:bCs w:val="false"/>
          <w:i w:val="false"/>
          <w:iCs w:val="false"/>
          <w:color w:val="1E293B"/>
          <w:sz w:val="24"/>
          <w:szCs w:val="24"/>
        </w:rPr>
        <w:t xml:space="preserve">Current RLM implementations primarily operate on text and structured data. The next generation will write code to query image databases, audio archives, and video streams — enabling programmatic reasoning across all enterprise data modalities.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Persistent Agent Memory: </w:t>
      </w:r>
      <w:r>
        <w:rPr>
          <w:rFonts w:ascii="Arial" w:cs="Arial" w:eastAsia="Arial" w:hAnsi="Arial"/>
          <w:b w:val="false"/>
          <w:bCs w:val="false"/>
          <w:i w:val="false"/>
          <w:iCs w:val="false"/>
          <w:color w:val="1E293B"/>
          <w:sz w:val="24"/>
          <w:szCs w:val="24"/>
        </w:rPr>
        <w:t xml:space="preserve">Agentic RAG systems are beginning to incorporate episodic memory — the ability to learn from past reasoning chains and improve retrieval strategies over time. An agent that handles 10,000 regulatory compliance queries becomes measurably better at query 10,001 than it was at query 1.</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Federated Agentic RAG: </w:t>
      </w:r>
      <w:r>
        <w:rPr>
          <w:rFonts w:ascii="Arial" w:cs="Arial" w:eastAsia="Arial" w:hAnsi="Arial"/>
          <w:b w:val="false"/>
          <w:bCs w:val="false"/>
          <w:i w:val="false"/>
          <w:iCs w:val="false"/>
          <w:color w:val="1E293B"/>
          <w:sz w:val="24"/>
          <w:szCs w:val="24"/>
        </w:rPr>
        <w:t xml:space="preserve">Privacy-preserving architectures that allow Agentic RAG agents to reason across distributed data sources without centralizing sensitive information — critical for healthcare and cross-institutional financial intelligence.</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Autonomous Agent Ecosystems: </w:t>
      </w:r>
      <w:r>
        <w:rPr>
          <w:rFonts w:ascii="Arial" w:cs="Arial" w:eastAsia="Arial" w:hAnsi="Arial"/>
          <w:b w:val="false"/>
          <w:bCs w:val="false"/>
          <w:i w:val="false"/>
          <w:iCs w:val="false"/>
          <w:color w:val="1E293B"/>
          <w:sz w:val="24"/>
          <w:szCs w:val="24"/>
        </w:rPr>
        <w:t xml:space="preserve">Networks of specialized RLM agents — each expert in a domain — coordinated by meta-agents using Agentic RAG orchestration. These multi-agent systems will tackle problems of organizational complexity that no single AI system has previously approached.</w:t>
      </w:r>
    </w:p>
    <w:p>
      <w:pPr>
        <w:pStyle w:val="Heading2"/>
        <w:spacing w:before="360" w:after="160"/>
      </w:pPr>
      <w:r>
        <w:rPr>
          <w:rFonts w:ascii="Arial" w:cs="Arial" w:eastAsia="Arial" w:hAnsi="Arial"/>
          <w:b/>
          <w:bCs/>
          <w:color w:val="1A56DB"/>
          <w:sz w:val="32"/>
          <w:szCs w:val="32"/>
        </w:rPr>
        <w:t xml:space="preserve">6.2  The Five Industries Facing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1A56D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Industry</w:t>
            </w:r>
          </w:p>
        </w:tc>
        <w:tc>
          <w:tcPr>
            <w:tcW w:type="dxa" w:w="4680"/>
            <w:tcBorders>
              <w:top w:val="single" w:color="CBD5E1" w:sz="4"/>
              <w:left w:val="single" w:color="CBD5E1" w:sz="4"/>
              <w:bottom w:val="single" w:color="CBD5E1" w:sz="4"/>
              <w:right w:val="single" w:color="CBD5E1" w:sz="4"/>
            </w:tcBorders>
            <w:shd w:fill="10B981"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Primary Transformation Vector</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Healthcare</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AI-assisted diagnosis, personalized treatment planning, real-time clinical trial matching</w:t>
            </w:r>
          </w:p>
        </w:tc>
      </w:tr>
      <w:tr>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Legal Services</w:t>
            </w:r>
          </w:p>
        </w:tc>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Autonomous contract analysis, precedent mining, regulatory compliance at scale</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Financial Services</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Risk modeling, fraud detection, regulatory intelligence, algorithmic governance</w:t>
            </w:r>
          </w:p>
        </w:tc>
      </w:tr>
      <w:tr>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Enterprise Knowledge Management</w:t>
            </w:r>
          </w:p>
        </w:tc>
        <w:tc>
          <w:tcPr>
            <w:tcW w:type="dxa" w:w="46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Organization-wide knowledge synthesis, expert system replacement, competitive intelligence</w:t>
            </w:r>
          </w:p>
        </w:tc>
      </w:tr>
      <w:tr>
        <w:tc>
          <w:tcPr>
            <w:tcW w:type="dxa" w:w="46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Scientific Research</w:t>
            </w:r>
          </w:p>
        </w:tc>
        <w:tc>
          <w:tcPr>
            <w:tcW w:type="dxa" w:w="4680"/>
            <w:tcBorders>
              <w:top w:val="single" w:color="CBD5E1" w:sz="2"/>
              <w:left w:val="single" w:color="CBD5E1" w:sz="2"/>
              <w:bottom w:val="single" w:color="CBD5E1" w:sz="2"/>
              <w:right w:val="single" w:color="CBD5E1" w:sz="2"/>
            </w:tcBorders>
            <w:shd w:fill="F1F5F9" w:val="clear"/>
            <w:tcMar>
              <w:top w:type="dxa" w:w="80"/>
              <w:left w:type="dxa" w:w="160"/>
              <w:bottom w:type="dxa" w:w="80"/>
              <w:right w:type="dxa" w:w="160"/>
            </w:tcMar>
          </w:tcPr>
          <w:p>
            <w:pPr>
              <w:spacing w:before="0" w:after="0"/>
            </w:pPr>
            <w:r>
              <w:rPr>
                <w:rFonts w:ascii="Arial" w:cs="Arial" w:eastAsia="Arial" w:hAnsi="Arial"/>
                <w:color w:val="1E293B"/>
                <w:sz w:val="22"/>
                <w:szCs w:val="22"/>
              </w:rPr>
              <w:t xml:space="preserve">Literature synthesis, hypothesis generation, cross-domain insight discovery</w:t>
            </w:r>
          </w:p>
        </w:tc>
      </w:tr>
    </w:tbl>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Part VII: Implementation Guidance — Getting Started</w:t>
      </w:r>
    </w:p>
    <w:p>
      <w:pPr>
        <w:pStyle w:val="Heading2"/>
        <w:spacing w:before="360" w:after="160"/>
      </w:pPr>
      <w:r>
        <w:rPr>
          <w:rFonts w:ascii="Arial" w:cs="Arial" w:eastAsia="Arial" w:hAnsi="Arial"/>
          <w:b/>
          <w:bCs/>
          <w:color w:val="1A56DB"/>
          <w:sz w:val="32"/>
          <w:szCs w:val="32"/>
        </w:rPr>
        <w:t xml:space="preserve">7.1  For Technology Leaders: A Practical On-Ramp</w:t>
      </w:r>
    </w:p>
    <w:p>
      <w:pPr>
        <w:spacing w:before="80" w:after="160"/>
        <w:jc w:val="left"/>
      </w:pPr>
      <w:r>
        <w:rPr>
          <w:rFonts w:ascii="Arial" w:cs="Arial" w:eastAsia="Arial" w:hAnsi="Arial"/>
          <w:b w:val="false"/>
          <w:bCs w:val="false"/>
          <w:i w:val="false"/>
          <w:iCs w:val="false"/>
          <w:color w:val="1E293B"/>
          <w:sz w:val="24"/>
          <w:szCs w:val="24"/>
        </w:rPr>
        <w:t xml:space="preserve">The excitement around RLMs and Agentic RAG is fully warranted — but so is the importance of thoughtful implementation. Here is a pragmatic framework for organizations beginning this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Phase</w:t>
            </w:r>
          </w:p>
        </w:tc>
        <w:tc>
          <w:tcPr>
            <w:tcW w:type="dxa" w:w="2880"/>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Timeframe</w:t>
            </w:r>
          </w:p>
        </w:tc>
        <w:tc>
          <w:tcPr>
            <w:tcW w:type="dxa" w:w="5040"/>
            <w:tcBorders>
              <w:top w:val="single" w:color="1A56DB" w:sz="4"/>
              <w:left w:val="single" w:color="1A56DB" w:sz="4"/>
              <w:bottom w:val="single" w:color="1A56DB" w:sz="4"/>
              <w:right w:val="single" w:color="1A56DB" w:sz="4"/>
            </w:tcBorders>
            <w:shd w:fill="0F3C91"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Actions</w:t>
            </w:r>
          </w:p>
        </w:tc>
      </w:tr>
      <w:tr>
        <w:tc>
          <w:tcPr>
            <w:tcW w:type="dxa" w:w="14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1 — Assess</w:t>
            </w:r>
          </w:p>
        </w:tc>
        <w:tc>
          <w:tcPr>
            <w:tcW w:type="dxa" w:w="28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Weeks 1–3</w:t>
            </w:r>
          </w:p>
        </w:tc>
        <w:tc>
          <w:tcPr>
            <w:tcW w:type="dxa" w:w="50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Audit current LLM use cases. Identify which tasks involve large context processing, multi-step reasoning, or high-stakes accuracy requirements. These are your highest-value RLM/Agentic RAG candidates.</w:t>
            </w:r>
          </w:p>
        </w:tc>
      </w:tr>
      <w:tr>
        <w:tc>
          <w:tcPr>
            <w:tcW w:type="dxa" w:w="144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2 — Pilot</w:t>
            </w:r>
          </w:p>
        </w:tc>
        <w:tc>
          <w:tcPr>
            <w:tcW w:type="dxa" w:w="28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Weeks 4–10</w:t>
            </w:r>
          </w:p>
        </w:tc>
        <w:tc>
          <w:tcPr>
            <w:tcW w:type="dxa" w:w="504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Select one high-value use case. Build a minimal Agentic RAG pipeline using an open-source orchestration framework (LangGraph, CrewAI, AutoGen). Measure accuracy, latency, and cost versus your current approach.</w:t>
            </w:r>
          </w:p>
        </w:tc>
      </w:tr>
      <w:tr>
        <w:tc>
          <w:tcPr>
            <w:tcW w:type="dxa" w:w="14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3 — Integrate RLM</w:t>
            </w:r>
          </w:p>
        </w:tc>
        <w:tc>
          <w:tcPr>
            <w:tcW w:type="dxa" w:w="28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Weeks 11–20</w:t>
            </w:r>
          </w:p>
        </w:tc>
        <w:tc>
          <w:tcPr>
            <w:tcW w:type="dxa" w:w="50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Augment your pilot with RLM-style programmatic reasoning. Implement the execution environment (sandbox Python REPL or equivalent). Measure the accuracy and efficiency lift from the architectural upgrade.</w:t>
            </w:r>
          </w:p>
        </w:tc>
      </w:tr>
      <w:tr>
        <w:tc>
          <w:tcPr>
            <w:tcW w:type="dxa" w:w="144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4 — Scale</w:t>
            </w:r>
          </w:p>
        </w:tc>
        <w:tc>
          <w:tcPr>
            <w:tcW w:type="dxa" w:w="288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Months 6–12</w:t>
            </w:r>
          </w:p>
        </w:tc>
        <w:tc>
          <w:tcPr>
            <w:tcW w:type="dxa" w:w="504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Expand successful pilots across use cases. Invest in agent memory, domain-specific retrieval optimization, and multi-agent coordination. Build internal expertise in agent architecture design.</w:t>
            </w:r>
          </w:p>
        </w:tc>
      </w:tr>
      <w:tr>
        <w:tc>
          <w:tcPr>
            <w:tcW w:type="dxa" w:w="14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bCs/>
                <w:color w:val="0F3C91"/>
                <w:sz w:val="22"/>
                <w:szCs w:val="22"/>
              </w:rPr>
              <w:t xml:space="preserve">5 — Govern</w:t>
            </w:r>
          </w:p>
        </w:tc>
        <w:tc>
          <w:tcPr>
            <w:tcW w:type="dxa" w:w="288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Ongoing</w:t>
            </w:r>
          </w:p>
        </w:tc>
        <w:tc>
          <w:tcPr>
            <w:tcW w:type="dxa" w:w="5040"/>
            <w:tcBorders>
              <w:top w:val="single" w:color="CBD5E1" w:sz="2"/>
              <w:left w:val="single" w:color="CBD5E1" w:sz="2"/>
              <w:bottom w:val="single" w:color="CBD5E1" w:sz="2"/>
              <w:right w:val="single" w:color="CBD5E1" w:sz="2"/>
            </w:tcBorders>
            <w:shd w:fill="EFF6FF" w:val="clear"/>
            <w:tcMar>
              <w:top w:type="dxa" w:w="80"/>
              <w:left w:type="dxa" w:w="160"/>
              <w:bottom w:type="dxa" w:w="80"/>
              <w:right w:type="dxa" w:w="160"/>
            </w:tcMar>
          </w:tcPr>
          <w:p>
            <w:pPr>
              <w:spacing w:before="0" w:after="0"/>
            </w:pPr>
            <w:r>
              <w:rPr>
                <w:rFonts w:ascii="Arial" w:cs="Arial" w:eastAsia="Arial" w:hAnsi="Arial"/>
                <w:b w:val="false"/>
                <w:bCs w:val="false"/>
                <w:color w:val="1E293B"/>
                <w:sz w:val="22"/>
                <w:szCs w:val="22"/>
              </w:rPr>
              <w:t xml:space="preserve">Implement AI governance frameworks that leverage the auditability of these architectures. Establish monitoring for agent behavior, retrieval quality, and output accuracy at scale.</w:t>
            </w:r>
          </w:p>
        </w:tc>
      </w:tr>
    </w:tbl>
    <w:p>
      <w:pPr>
        <w:spacing w:before="200" w:after="0"/>
      </w:pPr>
      <w:r>
        <w:t xml:space="preserve"/>
      </w:r>
    </w:p>
    <w:p>
      <w:pPr>
        <w:pStyle w:val="Heading2"/>
        <w:spacing w:before="360" w:after="160"/>
      </w:pPr>
      <w:r>
        <w:rPr>
          <w:rFonts w:ascii="Arial" w:cs="Arial" w:eastAsia="Arial" w:hAnsi="Arial"/>
          <w:b/>
          <w:bCs/>
          <w:color w:val="1A56DB"/>
          <w:sz w:val="32"/>
          <w:szCs w:val="32"/>
        </w:rPr>
        <w:t xml:space="preserve">7.2  The Talent and Tooling Ecosystem</w:t>
      </w:r>
    </w:p>
    <w:p>
      <w:pPr>
        <w:spacing w:before="80" w:after="160"/>
        <w:jc w:val="left"/>
      </w:pPr>
      <w:r>
        <w:rPr>
          <w:rFonts w:ascii="Arial" w:cs="Arial" w:eastAsia="Arial" w:hAnsi="Arial"/>
          <w:b w:val="false"/>
          <w:bCs w:val="false"/>
          <w:i w:val="false"/>
          <w:iCs w:val="false"/>
          <w:color w:val="1E293B"/>
          <w:sz w:val="24"/>
          <w:szCs w:val="24"/>
        </w:rPr>
        <w:t xml:space="preserve">One of the most encouraging aspects of this architectural revolution is the richness of the open-source ecosystem that has emerged to support it. Organizations are not starting from scratch.</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Orchestration Frameworks: </w:t>
      </w:r>
      <w:r>
        <w:rPr>
          <w:rFonts w:ascii="Arial" w:cs="Arial" w:eastAsia="Arial" w:hAnsi="Arial"/>
          <w:b w:val="false"/>
          <w:bCs w:val="false"/>
          <w:i w:val="false"/>
          <w:iCs w:val="false"/>
          <w:color w:val="1E293B"/>
          <w:sz w:val="24"/>
          <w:szCs w:val="24"/>
        </w:rPr>
        <w:t xml:space="preserve">LangGraph, LlamaIndex, AutoGen, CrewAI — each offering different tradeoffs in flexibility, observability, and ease of deployment.</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Model Options: </w:t>
      </w:r>
      <w:r>
        <w:rPr>
          <w:rFonts w:ascii="Arial" w:cs="Arial" w:eastAsia="Arial" w:hAnsi="Arial"/>
          <w:b w:val="false"/>
          <w:bCs w:val="false"/>
          <w:i w:val="false"/>
          <w:iCs w:val="false"/>
          <w:color w:val="1E293B"/>
          <w:sz w:val="24"/>
          <w:szCs w:val="24"/>
        </w:rPr>
        <w:t xml:space="preserve">Qwen3-8B, Llama-3.1-70B, Mistral-7B — open-weight models that perform exceptionally well in RLM configurations at a fraction of proprietary API costs.</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Retrieval Infrastructure: </w:t>
      </w:r>
      <w:r>
        <w:rPr>
          <w:rFonts w:ascii="Arial" w:cs="Arial" w:eastAsia="Arial" w:hAnsi="Arial"/>
          <w:b w:val="false"/>
          <w:bCs w:val="false"/>
          <w:i w:val="false"/>
          <w:iCs w:val="false"/>
          <w:color w:val="1E293B"/>
          <w:sz w:val="24"/>
          <w:szCs w:val="24"/>
        </w:rPr>
        <w:t xml:space="preserve">Weaviate, Qdrant, Pinecone, pgvector — production-grade vector stores with the throughput and filtering capabilities that Agentic RAG pipelines demand.</w:t>
      </w:r>
    </w:p>
    <w:p>
      <w:pPr>
        <w:pStyle w:val="ListParagraph"/>
        <w:numPr>
          <w:ilvl w:val="0"/>
          <w:numId w:val="2"/>
        </w:numPr>
        <w:spacing w:before="60" w:after="80"/>
      </w:pPr>
      <w:r>
        <w:rPr>
          <w:rFonts w:ascii="Arial" w:cs="Arial" w:eastAsia="Arial" w:hAnsi="Arial"/>
          <w:b/>
          <w:bCs/>
          <w:i w:val="false"/>
          <w:iCs w:val="false"/>
          <w:color w:val="1A56DB"/>
          <w:sz w:val="24"/>
          <w:szCs w:val="24"/>
        </w:rPr>
        <w:t xml:space="preserve">Execution Environments: </w:t>
      </w:r>
      <w:r>
        <w:rPr>
          <w:rFonts w:ascii="Arial" w:cs="Arial" w:eastAsia="Arial" w:hAnsi="Arial"/>
          <w:b w:val="false"/>
          <w:bCs w:val="false"/>
          <w:i w:val="false"/>
          <w:iCs w:val="false"/>
          <w:color w:val="1E293B"/>
          <w:sz w:val="24"/>
          <w:szCs w:val="24"/>
        </w:rPr>
        <w:t xml:space="preserve">Sandboxed Python interpreters (E2B, Modal, AWS Lambda) that enable RLM program execution with the security isolation enterprise deployments require.</w:t>
      </w:r>
    </w:p>
    <w:p>
      <w:pPr>
        <w:spacing w:before="300" w:after="0"/>
      </w:pPr>
      <w:r>
        <w:t xml:space="preserve"/>
      </w:r>
    </w:p>
    <w:p>
      <w:pPr>
        <w:pStyle w:val="Heading1"/>
        <w:pBdr>
          <w:bottom w:val="single" w:color="1A56DB" w:sz="6" w:space="4"/>
        </w:pBdr>
        <w:spacing w:before="480" w:after="200"/>
      </w:pPr>
      <w:r>
        <w:rPr>
          <w:rFonts w:ascii="Arial" w:cs="Arial" w:eastAsia="Arial" w:hAnsi="Arial"/>
          <w:b/>
          <w:bCs/>
          <w:color w:val="0F3C91"/>
          <w:sz w:val="40"/>
          <w:szCs w:val="40"/>
        </w:rPr>
        <w:t xml:space="preserve">Conclusion: This Is Not Hype — This Is History in the Making</w:t>
      </w:r>
    </w:p>
    <w:p>
      <w:pPr>
        <w:spacing w:before="80" w:after="160"/>
        <w:jc w:val="left"/>
      </w:pPr>
      <w:r>
        <w:rPr>
          <w:rFonts w:ascii="Arial" w:cs="Arial" w:eastAsia="Arial" w:hAnsi="Arial"/>
          <w:b w:val="false"/>
          <w:bCs w:val="false"/>
          <w:i w:val="false"/>
          <w:iCs w:val="false"/>
          <w:color w:val="1E293B"/>
          <w:sz w:val="24"/>
          <w:szCs w:val="24"/>
        </w:rPr>
        <w:t xml:space="preserve">We have been at AI inflection points before. The introduction of the Transformer in 2017. The GPT-3 moment in 2020. The ChatGPT inflection in late 2022. Each felt seismic at the time. And each was — but primarily for what it enabled next.</w:t>
      </w:r>
    </w:p>
    <w:p>
      <w:pPr>
        <w:spacing w:before="80" w:after="160"/>
        <w:jc w:val="left"/>
      </w:pPr>
      <w:r>
        <w:rPr>
          <w:rFonts w:ascii="Arial" w:cs="Arial" w:eastAsia="Arial" w:hAnsi="Arial"/>
          <w:b w:val="false"/>
          <w:bCs w:val="false"/>
          <w:i w:val="false"/>
          <w:iCs w:val="false"/>
          <w:color w:val="1E293B"/>
          <w:sz w:val="24"/>
          <w:szCs w:val="24"/>
        </w:rPr>
        <w:t xml:space="preserve">The emergence of Recursive Language Models and Agentic RAG feels different because it is different. Previous breakthroughs were primarily about </w:t>
      </w:r>
      <w:r>
        <w:rPr>
          <w:rFonts w:ascii="Arial" w:cs="Arial" w:eastAsia="Arial" w:hAnsi="Arial"/>
          <w:b w:val="false"/>
          <w:bCs w:val="false"/>
          <w:i/>
          <w:iCs/>
          <w:color w:val="1E293B"/>
          <w:sz w:val="24"/>
          <w:szCs w:val="24"/>
        </w:rPr>
        <w:t xml:space="preserve">scale</w:t>
      </w:r>
      <w:r>
        <w:rPr>
          <w:rFonts w:ascii="Arial" w:cs="Arial" w:eastAsia="Arial" w:hAnsi="Arial"/>
          <w:b w:val="false"/>
          <w:bCs w:val="false"/>
          <w:i w:val="false"/>
          <w:iCs w:val="false"/>
          <w:color w:val="1E293B"/>
          <w:sz w:val="24"/>
          <w:szCs w:val="24"/>
        </w:rPr>
        <w:t xml:space="preserve"> — bigger models, more data, more compute. This breakthrough is about </w:t>
      </w:r>
      <w:r>
        <w:rPr>
          <w:rFonts w:ascii="Arial" w:cs="Arial" w:eastAsia="Arial" w:hAnsi="Arial"/>
          <w:b w:val="false"/>
          <w:bCs w:val="false"/>
          <w:i/>
          <w:iCs/>
          <w:color w:val="1E293B"/>
          <w:sz w:val="24"/>
          <w:szCs w:val="24"/>
        </w:rPr>
        <w:t xml:space="preserve">architecture</w:t>
      </w:r>
      <w:r>
        <w:rPr>
          <w:rFonts w:ascii="Arial" w:cs="Arial" w:eastAsia="Arial" w:hAnsi="Arial"/>
          <w:b w:val="false"/>
          <w:bCs w:val="false"/>
          <w:i w:val="false"/>
          <w:iCs w:val="false"/>
          <w:color w:val="1E293B"/>
          <w:sz w:val="24"/>
          <w:szCs w:val="24"/>
        </w:rPr>
        <w:t xml:space="preserve"> — smarter ways of thinking, not just bigger brains. The history of technology tells us that architectural innovations have longer and deeper impacts than scaling innovations. They change not just what systems can do, but what systems </w:t>
      </w:r>
      <w:r>
        <w:rPr>
          <w:rFonts w:ascii="Arial" w:cs="Arial" w:eastAsia="Arial" w:hAnsi="Arial"/>
          <w:b/>
          <w:bCs/>
          <w:i/>
          <w:iCs/>
          <w:color w:val="1E293B"/>
          <w:sz w:val="24"/>
          <w:szCs w:val="24"/>
        </w:rPr>
        <w:t xml:space="preserve">are</w:t>
      </w:r>
      <w:r>
        <w:rPr>
          <w:rFonts w:ascii="Arial" w:cs="Arial" w:eastAsia="Arial" w:hAnsi="Arial"/>
          <w:b w:val="false"/>
          <w:bCs w:val="false"/>
          <w:i w:val="false"/>
          <w:iCs w:val="false"/>
          <w:color w:val="1E293B"/>
          <w:sz w:val="24"/>
          <w:szCs w:val="24"/>
        </w:rPr>
        <w:t xml:space="preserve">.</w:t>
      </w:r>
    </w:p>
    <w:p>
      <w:pPr>
        <w:spacing w:before="80" w:after="160"/>
        <w:jc w:val="left"/>
      </w:pPr>
      <w:r>
        <w:rPr>
          <w:rFonts w:ascii="Arial" w:cs="Arial" w:eastAsia="Arial" w:hAnsi="Arial"/>
          <w:b w:val="false"/>
          <w:bCs w:val="false"/>
          <w:i w:val="false"/>
          <w:iCs w:val="false"/>
          <w:color w:val="1E293B"/>
          <w:sz w:val="24"/>
          <w:szCs w:val="24"/>
        </w:rPr>
        <w:t xml:space="preserve">What RLMs and Agentic RAG represent is the moment AI transitions from </w:t>
      </w:r>
      <w:r>
        <w:rPr>
          <w:rFonts w:ascii="Arial" w:cs="Arial" w:eastAsia="Arial" w:hAnsi="Arial"/>
          <w:b w:val="false"/>
          <w:bCs w:val="false"/>
          <w:i/>
          <w:iCs/>
          <w:color w:val="1E293B"/>
          <w:sz w:val="24"/>
          <w:szCs w:val="24"/>
        </w:rPr>
        <w:t xml:space="preserve">a capable tool</w:t>
      </w:r>
      <w:r>
        <w:rPr>
          <w:rFonts w:ascii="Arial" w:cs="Arial" w:eastAsia="Arial" w:hAnsi="Arial"/>
          <w:b w:val="false"/>
          <w:bCs w:val="false"/>
          <w:i w:val="false"/>
          <w:iCs w:val="false"/>
          <w:color w:val="1E293B"/>
          <w:sz w:val="24"/>
          <w:szCs w:val="24"/>
        </w:rPr>
        <w:t xml:space="preserve"> to </w:t>
      </w:r>
      <w:r>
        <w:rPr>
          <w:rFonts w:ascii="Arial" w:cs="Arial" w:eastAsia="Arial" w:hAnsi="Arial"/>
          <w:b/>
          <w:bCs/>
          <w:i/>
          <w:iCs/>
          <w:color w:val="1E293B"/>
          <w:sz w:val="24"/>
          <w:szCs w:val="24"/>
        </w:rPr>
        <w:t xml:space="preserve">an intelligent collaborator</w:t>
      </w:r>
      <w:r>
        <w:rPr>
          <w:rFonts w:ascii="Arial" w:cs="Arial" w:eastAsia="Arial" w:hAnsi="Arial"/>
          <w:b w:val="false"/>
          <w:bCs w:val="false"/>
          <w:i w:val="false"/>
          <w:iCs w:val="false"/>
          <w:color w:val="1E293B"/>
          <w:sz w:val="24"/>
          <w:szCs w:val="24"/>
        </w:rPr>
        <w:t xml:space="preserve">. A collaborator that can reason through the complexity of real enterprise problems, not just the simplified versions of those problems that fit into a context window.</w:t>
      </w:r>
    </w:p>
    <w:p>
      <w:pPr>
        <w:spacing w:before="80" w:after="160"/>
        <w:jc w:val="left"/>
      </w:pPr>
      <w:r>
        <w:rPr>
          <w:rFonts w:ascii="Arial" w:cs="Arial" w:eastAsia="Arial" w:hAnsi="Arial"/>
          <w:b w:val="false"/>
          <w:bCs w:val="false"/>
          <w:i w:val="false"/>
          <w:iCs w:val="false"/>
          <w:color w:val="1E293B"/>
          <w:sz w:val="24"/>
          <w:szCs w:val="24"/>
        </w:rPr>
        <w:t xml:space="preserve">The organizations that understand this transition now — that invest in learning these architectures, building these pipelines, and developing the internal expertise to orchestrate intelligent agents — are not just buying a technology upgrade. They are </w:t>
      </w:r>
      <w:r>
        <w:rPr>
          <w:rFonts w:ascii="Arial" w:cs="Arial" w:eastAsia="Arial" w:hAnsi="Arial"/>
          <w:b/>
          <w:bCs/>
          <w:i w:val="false"/>
          <w:iCs w:val="false"/>
          <w:color w:val="1E293B"/>
          <w:sz w:val="24"/>
          <w:szCs w:val="24"/>
        </w:rPr>
        <w:t xml:space="preserve">positioning themselves at the frontier of the most consequential industrial transformation since the internet</w:t>
      </w:r>
      <w:r>
        <w:rPr>
          <w:rFonts w:ascii="Arial" w:cs="Arial" w:eastAsia="Arial" w:hAnsi="Arial"/>
          <w:b w:val="false"/>
          <w:bCs w:val="false"/>
          <w:i w:val="false"/>
          <w:iCs w:val="false"/>
          <w:color w:val="1E293B"/>
          <w:sz w:val="24"/>
          <w:szCs w:val="24"/>
        </w:rPr>
        <w:t xml:space="preserve">.</w:t>
      </w:r>
    </w:p>
    <w:p>
      <w:pPr>
        <w:spacing w:before="80" w:after="160"/>
        <w:jc w:val="left"/>
      </w:pPr>
      <w:r>
        <w:rPr>
          <w:rFonts w:ascii="Arial" w:cs="Arial" w:eastAsia="Arial" w:hAnsi="Arial"/>
          <w:b w:val="false"/>
          <w:bCs w:val="false"/>
          <w:i w:val="false"/>
          <w:iCs w:val="false"/>
          <w:color w:val="1E293B"/>
          <w:sz w:val="24"/>
          <w:szCs w:val="24"/>
        </w:rPr>
        <w:t xml:space="preserve">The market will not wait. The technology is ready. The benchmarks are compelling. The economics are favorable. The only remaining variable is which organizations choose to act — and which choose to watch others act first.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F3C91" w:val="clear"/>
            <w:tcMar>
              <w:top w:type="dxa" w:w="300"/>
              <w:left w:type="dxa" w:w="400"/>
              <w:bottom w:type="dxa" w:w="300"/>
              <w:right w:type="dxa" w:w="400"/>
            </w:tcMar>
          </w:tcPr>
          <w:p>
            <w:pPr>
              <w:spacing w:before="0" w:after="120"/>
              <w:jc w:val="center"/>
            </w:pPr>
            <w:r>
              <w:rPr>
                <w:rFonts w:ascii="Arial" w:cs="Arial" w:eastAsia="Arial" w:hAnsi="Arial"/>
                <w:b/>
                <w:bCs/>
                <w:i/>
                <w:iCs/>
                <w:color w:val="F59E0B"/>
                <w:sz w:val="36"/>
                <w:szCs w:val="36"/>
              </w:rPr>
              <w:t xml:space="preserve">The future belongs to those who build it.</w:t>
            </w:r>
          </w:p>
          <w:p>
            <w:pPr>
              <w:spacing w:before="0" w:after="0"/>
              <w:jc w:val="center"/>
            </w:pPr>
            <w:r>
              <w:rPr>
                <w:rFonts w:ascii="Arial" w:cs="Arial" w:eastAsia="Arial" w:hAnsi="Arial"/>
                <w:color w:val="CFFAFE"/>
                <w:sz w:val="22"/>
                <w:szCs w:val="22"/>
              </w:rPr>
              <w:t xml:space="preserve">RLMs and Agentic RAG are not the future of AI. They are the present of AI — ready for deployment, proven in benchmarks, and hungry for the complex problems only your organization can bring to them.</w:t>
            </w:r>
          </w:p>
        </w:tc>
      </w:tr>
    </w:tbl>
    <w:p>
      <w:pPr>
        <w:spacing w:before="200" w:after="0"/>
      </w:pPr>
      <w:r>
        <w:t xml:space="preserve"/>
      </w:r>
    </w:p>
    <w:p>
      <w:pPr>
        <w:spacing w:before="80" w:after="160"/>
        <w:jc w:val="center"/>
      </w:pPr>
      <w:r>
        <w:rPr>
          <w:rFonts w:ascii="Arial" w:cs="Arial" w:eastAsia="Arial" w:hAnsi="Arial"/>
          <w:b w:val="false"/>
          <w:bCs w:val="false"/>
          <w:i/>
          <w:iCs/>
          <w:color w:val="CBD5E1"/>
          <w:sz w:val="20"/>
          <w:szCs w:val="20"/>
        </w:rPr>
        <w:t xml:space="preserve">Authored &amp; Curated by Prateek Dutta | AI Architecture Intelligence Series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space="1"/>
      </w:pBdr>
      <w:tabs>
        <w:tab w:val="right" w:pos="9026"/>
      </w:tabs>
      <w:spacing w:before="120" w:after="0"/>
    </w:pPr>
    <w:r>
      <w:rPr>
        <w:rFonts w:ascii="Arial" w:cs="Arial" w:eastAsia="Arial" w:hAnsi="Arial"/>
        <w:color w:val="CBD5E1"/>
        <w:sz w:val="18"/>
        <w:szCs w:val="18"/>
      </w:rPr>
      <w:t xml:space="preserve">Prateek Dutta | AI Architecture Intelligence Series</w:t>
    </w:r>
    <w:r>
      <w:rPr>
        <w:rFonts w:ascii="Arial" w:cs="Arial" w:eastAsia="Arial" w:hAnsi="Arial"/>
        <w:sz w:val="18"/>
        <w:szCs w:val="18"/>
      </w:rPr>
      <w:t xml:space="preserve">	</w:t>
    </w:r>
    <w:r>
      <w:rPr>
        <w:rFonts w:ascii="Arial" w:cs="Arial" w:eastAsia="Arial" w:hAnsi="Arial"/>
        <w:color w:val="CBD5E1"/>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before="0" w:after="120"/>
      <w:jc w:val="right"/>
    </w:pPr>
    <w:r>
      <w:rPr>
        <w:rFonts w:ascii="Arial" w:cs="Arial" w:eastAsia="Arial" w:hAnsi="Arial"/>
        <w:color w:val="1A56DB"/>
        <w:sz w:val="18"/>
        <w:szCs w:val="18"/>
      </w:rPr>
      <w:t xml:space="preserve">The AI Revolution: RLMs &amp; Agentic RAG   |   </w:t>
    </w:r>
    <w:r>
      <w:rPr>
        <w:rFonts w:ascii="Arial" w:cs="Arial" w:eastAsia="Arial" w:hAnsi="Arial"/>
        <w:color w:val="CBD5E1"/>
        <w:sz w:val="18"/>
        <w:szCs w:val="18"/>
      </w:rPr>
      <w:t xml:space="preserve">Technical Intelligence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3C91"/>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56D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2026-02-17T17:45:14.207Z</dcterms:created>
  <dcterms:modified xsi:type="dcterms:W3CDTF">2026-02-17T17:45:14.208Z</dcterms:modified>
</cp:coreProperties>
</file>

<file path=docProps/custom.xml><?xml version="1.0" encoding="utf-8"?>
<Properties xmlns="http://schemas.openxmlformats.org/officeDocument/2006/custom-properties" xmlns:vt="http://schemas.openxmlformats.org/officeDocument/2006/docPropsVTypes"/>
</file>