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AWT Stakeholders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ENGE 1216 – Spring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Team #:</w:t>
      </w:r>
      <w:r w:rsidDel="00000000" w:rsidR="00000000" w:rsidRPr="00000000">
        <w:rPr>
          <w:rtl w:val="0"/>
        </w:rPr>
        <w:t xml:space="preserve"> 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Contributing teammates:</w:t>
      </w:r>
      <w:r w:rsidDel="00000000" w:rsidR="00000000" w:rsidRPr="00000000">
        <w:rPr>
          <w:rtl w:val="0"/>
        </w:rPr>
        <w:t xml:space="preserve"> Zain, Tyler, Amulya, Dhruv, Prateek, Ryan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Non-contributing teammates: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Table 1.</w:t>
      </w:r>
      <w:r w:rsidDel="00000000" w:rsidR="00000000" w:rsidRPr="00000000">
        <w:rPr>
          <w:rtl w:val="0"/>
        </w:rPr>
        <w:t xml:space="preserve"> List of stakeholders, their needs, and which project specifications are related</w:t>
      </w:r>
    </w:p>
    <w:tbl>
      <w:tblPr>
        <w:tblStyle w:val="Table1"/>
        <w:tblW w:w="1484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3237"/>
        <w:gridCol w:w="3508"/>
        <w:gridCol w:w="3690"/>
        <w:gridCol w:w="4410"/>
        <w:tblGridChange w:id="0">
          <w:tblGrid>
            <w:gridCol w:w="3237"/>
            <w:gridCol w:w="3508"/>
            <w:gridCol w:w="3690"/>
            <w:gridCol w:w="4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Stakeholder Name / Description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Needs of this Stakeholder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Relevant Specification(s)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37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Customers**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The customer is directly affected by the quality of our product and the overall outcome. This is the most direct stakeholder. 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working final product (A)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Aesthetics (A)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Spins around a central vertical axis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Resists local weather conditions year-round.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Intended for all ages to view and enjoy, including children and seniors.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Requires minimal maintenance once installed.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Safe to operate around children, pets, and the environment.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Must not exceed two feet in sculpted height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Costs less than $150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● Can generate measurable amounts of electricity.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37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Employees**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Employees are a direct stakeholder as the companies making the wind turbines gain profit, leading to sufficient pay for employees.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Avoiding Unemployment (A)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Assembly of Parts (A)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Employees make sure the design is safe to operate around children, pets, and the environment.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37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Community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They may not purchase the product, but they view it, which may affect them [6].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Something </w:t>
            </w:r>
            <w:r w:rsidDel="00000000" w:rsidR="00000000" w:rsidRPr="00000000">
              <w:rPr>
                <w:rtl w:val="0"/>
              </w:rPr>
              <w:t xml:space="preserve">nice to look at (aesthetic) (A)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Safety [7]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final wind turbine must be aesthetic for the community and customers to look 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37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Manufacturers**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The manufacturers are directly affected because they are responsible for creating quality through specific materials and methods [4].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Safe working conditions (</w:t>
            </w:r>
            <w:r w:rsidDel="00000000" w:rsidR="00000000" w:rsidRPr="00000000">
              <w:rPr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Safe materials (A)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Cost-effective (Materials/Employees) (A)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Parts manufactured need to resist local weather conditions year-round.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37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Shipping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They are in charge of making sure that the product stays safe during transport and gets to the customer on time.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Efficiently packed product </w:t>
            </w:r>
            <w:r w:rsidDel="00000000" w:rsidR="00000000" w:rsidRPr="00000000">
              <w:rPr>
                <w:rtl w:val="0"/>
              </w:rPr>
              <w:t xml:space="preserve">to cut down on weight/space/cost 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be shipped in a kit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37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The marketing team determines how many groups are reached, which affects how many customers buy the product [2].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 </w:t>
            </w:r>
            <w:r w:rsidDel="00000000" w:rsidR="00000000" w:rsidRPr="00000000">
              <w:rPr>
                <w:rtl w:val="0"/>
              </w:rPr>
              <w:t xml:space="preserve">strong, marketable product (A)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Input from other teams (A)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Preferably, it costs less than $150 to purchase, which includes labor, overhead, and profit.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37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Founders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The founders are the ones designing the product; the design they choose affects how many customers decide to buy it.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product needs to perform well for the founders' investment to be worth it. 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Investment must become profitable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Creation of an environmentally friendly product.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37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Energy Company**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The energy company will be selling less energy if there are AWT. It will also lower the load on the power grid.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</w:t>
            </w:r>
            <w:r w:rsidDel="00000000" w:rsidR="00000000" w:rsidRPr="00000000">
              <w:rPr>
                <w:rtl w:val="0"/>
              </w:rPr>
              <w:t xml:space="preserve">nnected properly to the power grid and houses [1].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strain on the electricity grid should be eased (A)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need certified power curve data, verified safety/shut-down mechanisms, grid interconnection applications, and proof of local zoning/permitting compliance [8].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Demonstrates that it can generate measurable amounts of electricity.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37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Government**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The government sets laws and rules in place that affect what the company and customers can do with the AWT [3].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Safety (A)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Safe materials (A)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Cost of materials, labor, and other important factors are included in the cost. (A)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Safe to operate around children, pets, and the environment.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Preferably, it costs less than $150 to purchase, which includes labor, overhead, and profit.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337" w:right="0" w:hanging="36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Suppliers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Supplies are manufactured with raw materials that are used in order to build the AWT [5].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Clear communication </w:t>
            </w:r>
            <w:r w:rsidDel="00000000" w:rsidR="00000000" w:rsidRPr="00000000">
              <w:rPr>
                <w:rtl w:val="0"/>
              </w:rPr>
              <w:t xml:space="preserve">regarding requirements (A)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2" w:right="0" w:hanging="18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Provides solid materials (A)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Resists local weather conditions year-round.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164" w:right="0" w:hanging="18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Preferably, it costs less than $150 to purchase, which includes labor, overhead, and profit.</w:t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Links to sources: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[1]“How to connect a PV solar system to the utility grid,” Sunwatts.com, 2026. https://sunwatts.com/how-to-connect-pv-solar-to-utility-grid/?srsltid=AfmBOoomj82V56SNfoj6J3qIIuPdNbEl2GxqOz7Pn2k2Ny284fJMShuf (accessed Feb. 10, 2026).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‌[2]“Wind Energy Sales and Marketing Professional,” Build Wind Turbines - Careers in Renewable Energy, Jun. 26, 2024. https://buildturbines.com/sales-marketing/ (accessed Feb. 10, 2026).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‌[3]“A Guide for Landowners • 11 3 Legal Considerations of Wind Energy Development.” Accessed: Feb. 10, 2026. [Online]. Available: https://www.wyomingrenewables.org/wp-content/uploads/2013/06/Wind_Guide_Chapter_3.pdf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‌[4]C. King, “Top 10 Wind Turbine Manufacturers,” energydigital.com, Aug. 23, 2023. https://energydigital.com/top10/top-10-wind-turbine-manufacturers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‌[5]T. G. Team, “Wind Turbine Suppliers deliver new record volume,” Gwec.net, May 16, 2025. https://www.gwec.net/news/wind-turbine-suppliers-deliver-new-record-volume-despite-difficult-year-full-of-diverse-challenges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‌[6]R. Nadeem, “2. Americans’ views on local wind and solar power development,” Pew Research Center, Jun. 27, 2024. https://www.pewresearch.org/science/2024/06/27/americans-views-on-local-wind-and-solar-power-development/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‌[7]“Safety,” Energy.gov, 2025. https://www.energy.gov/eere/wind/windexchange/safety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‌[8] “Large Community Wind Handbook,” </w:t>
      </w:r>
      <w:r w:rsidDel="00000000" w:rsidR="00000000" w:rsidRPr="00000000">
        <w:rPr>
          <w:i w:val="1"/>
          <w:iCs w:val="1"/>
          <w:rtl w:val="0"/>
        </w:rPr>
        <w:t xml:space="preserve">Energy.gov</w:t>
      </w:r>
      <w:r w:rsidDel="00000000" w:rsidR="00000000" w:rsidRPr="00000000">
        <w:rPr>
          <w:rtl w:val="0"/>
        </w:rPr>
        <w:t xml:space="preserve">, 2025. https://www.energy.gov/eere/wind/windexchange/large-community-wind-handbook#:~:text=Interconnection%20applications%20can%20be%20found,Transformer%20specifications. (accessed Feb. 10, 2026).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00FE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00FE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00FE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00FE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00FE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00FE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00FE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00FE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00FE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00FE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00FE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00FE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00FE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00FE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00FE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00FE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00FE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00FE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00FE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00FE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00FE5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8A76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5Dark-Accent3">
    <w:name w:val="Grid Table 5 Dark Accent 3"/>
    <w:basedOn w:val="TableNormal"/>
    <w:uiPriority w:val="50"/>
    <w:rsid w:val="008A763F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1f0c7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96b24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96b24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196b24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196b24" w:themeFill="accent3" w:val="clear"/>
      </w:tcPr>
    </w:tblStylePr>
    <w:tblStylePr w:type="band1Vert">
      <w:tblPr/>
      <w:tcPr>
        <w:shd w:color="auto" w:fill="84e290" w:themeFill="accent3" w:themeFillTint="000066" w:val="clear"/>
      </w:tcPr>
    </w:tblStylePr>
    <w:tblStylePr w:type="band1Horz">
      <w:tblPr/>
      <w:tcPr>
        <w:shd w:color="auto" w:fill="84e290" w:themeFill="accent3" w:themeFillTint="000066" w:val="clear"/>
      </w:tcPr>
    </w:tblStylePr>
  </w:style>
  <w:style w:type="paragraph" w:styleId="Header">
    <w:name w:val="header"/>
    <w:basedOn w:val="Normal"/>
    <w:link w:val="HeaderChar"/>
    <w:uiPriority w:val="99"/>
    <w:unhideWhenUsed w:val="1"/>
    <w:rsid w:val="00305FD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05FD7"/>
  </w:style>
  <w:style w:type="paragraph" w:styleId="Footer">
    <w:name w:val="footer"/>
    <w:basedOn w:val="Normal"/>
    <w:link w:val="FooterChar"/>
    <w:uiPriority w:val="99"/>
    <w:unhideWhenUsed w:val="1"/>
    <w:rsid w:val="00305FD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05FD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c1f0c8" w:val="clear"/>
    </w:tcPr>
    <w:tblStylePr w:type="band1Horz">
      <w:tcPr>
        <w:shd w:fill="84e291" w:val="clear"/>
      </w:tcPr>
    </w:tblStylePr>
    <w:tblStylePr w:type="band1Vert">
      <w:tcPr>
        <w:shd w:fill="84e291" w:val="clear"/>
      </w:tcPr>
    </w:tblStylePr>
    <w:tblStylePr w:type="firstCol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196b24" w:val="clear"/>
      </w:tcPr>
    </w:tblStylePr>
    <w:tblStylePr w:type="firstRow">
      <w:rPr>
        <w:b w:val="1"/>
        <w:bCs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196b24" w:val="clear"/>
      </w:tcPr>
    </w:tblStylePr>
    <w:tblStylePr w:type="lastCol">
      <w:rPr>
        <w:b w:val="1"/>
        <w:bCs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196b24" w:val="clear"/>
      </w:tcPr>
    </w:tblStylePr>
    <w:tblStylePr w:type="lastRow">
      <w:rPr>
        <w:b w:val="1"/>
        <w:bCs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196b24" w:val="clea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VzL1EO48wB01LaNASO1MCurLCw==">CgMxLjA4AHIhMWRtSDlWQ2JZMnRDdV81aWg4VFBiVVluQkt1RzFfV05j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2026-02-10T16:13:00Z</dcterms:created>
  <dc:creator>Twyman, Catherine</dc:creator>
</cp:coreProperties>
</file>