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A926E" w14:textId="77777777" w:rsidR="00ED45E2" w:rsidRPr="00ED45E2" w:rsidRDefault="00ED45E2" w:rsidP="00ED45E2">
      <w:pPr>
        <w:rPr>
          <w:b/>
          <w:bCs/>
          <w:sz w:val="40"/>
          <w:szCs w:val="40"/>
        </w:rPr>
      </w:pPr>
      <w:r w:rsidRPr="00ED45E2">
        <w:rPr>
          <w:b/>
          <w:bCs/>
          <w:sz w:val="40"/>
          <w:szCs w:val="40"/>
        </w:rPr>
        <w:t>Executive Summary – Retail Sales Performance Dashboard (2010–2011)</w:t>
      </w:r>
    </w:p>
    <w:p w14:paraId="228059E2" w14:textId="77777777" w:rsidR="00ED45E2" w:rsidRPr="00ED45E2" w:rsidRDefault="00ED45E2" w:rsidP="00ED45E2">
      <w:r w:rsidRPr="00ED45E2">
        <w:t>This dashboard provides a high-level overview of retail sales performance, customer base, and product demand across multiple regions for the years 2010 and 2011.</w:t>
      </w:r>
    </w:p>
    <w:p w14:paraId="3104F75D" w14:textId="77777777" w:rsidR="00ED45E2" w:rsidRPr="00ED45E2" w:rsidRDefault="00ED45E2" w:rsidP="00ED45E2">
      <w:r w:rsidRPr="00ED45E2">
        <w:rPr>
          <w:b/>
          <w:bCs/>
        </w:rPr>
        <w:t>Key Highlights:</w:t>
      </w:r>
    </w:p>
    <w:p w14:paraId="26927078" w14:textId="77777777" w:rsidR="00ED45E2" w:rsidRPr="00ED45E2" w:rsidRDefault="00ED45E2" w:rsidP="00ED45E2">
      <w:pPr>
        <w:numPr>
          <w:ilvl w:val="0"/>
          <w:numId w:val="1"/>
        </w:numPr>
      </w:pPr>
      <w:r w:rsidRPr="00ED45E2">
        <w:rPr>
          <w:b/>
          <w:bCs/>
        </w:rPr>
        <w:t>Total Revenue:</w:t>
      </w:r>
      <w:r w:rsidRPr="00ED45E2">
        <w:t xml:space="preserve"> </w:t>
      </w:r>
      <w:r w:rsidRPr="00ED45E2">
        <w:rPr>
          <w:b/>
          <w:bCs/>
        </w:rPr>
        <w:t>$9M</w:t>
      </w:r>
      <w:r w:rsidRPr="00ED45E2">
        <w:t>, showing strong growth from 2010 to 2011.</w:t>
      </w:r>
    </w:p>
    <w:p w14:paraId="5AF18296" w14:textId="77777777" w:rsidR="00ED45E2" w:rsidRPr="00ED45E2" w:rsidRDefault="00ED45E2" w:rsidP="00ED45E2">
      <w:pPr>
        <w:numPr>
          <w:ilvl w:val="0"/>
          <w:numId w:val="1"/>
        </w:numPr>
      </w:pPr>
      <w:r w:rsidRPr="00ED45E2">
        <w:rPr>
          <w:b/>
          <w:bCs/>
        </w:rPr>
        <w:t>Total Quantity Sold:</w:t>
      </w:r>
      <w:r w:rsidRPr="00ED45E2">
        <w:t xml:space="preserve"> </w:t>
      </w:r>
      <w:r w:rsidRPr="00ED45E2">
        <w:rPr>
          <w:b/>
          <w:bCs/>
        </w:rPr>
        <w:t>5M units</w:t>
      </w:r>
      <w:r w:rsidRPr="00ED45E2">
        <w:t>, indicating healthy demand across product lines.</w:t>
      </w:r>
    </w:p>
    <w:p w14:paraId="7E2B89E8" w14:textId="77777777" w:rsidR="00ED45E2" w:rsidRPr="00ED45E2" w:rsidRDefault="00ED45E2" w:rsidP="00ED45E2">
      <w:pPr>
        <w:numPr>
          <w:ilvl w:val="0"/>
          <w:numId w:val="1"/>
        </w:numPr>
      </w:pPr>
      <w:r w:rsidRPr="00ED45E2">
        <w:rPr>
          <w:b/>
          <w:bCs/>
        </w:rPr>
        <w:t>Total Customers:</w:t>
      </w:r>
      <w:r w:rsidRPr="00ED45E2">
        <w:t xml:space="preserve"> </w:t>
      </w:r>
      <w:r w:rsidRPr="00ED45E2">
        <w:rPr>
          <w:b/>
          <w:bCs/>
        </w:rPr>
        <w:t>4,338</w:t>
      </w:r>
      <w:r w:rsidRPr="00ED45E2">
        <w:t>, reflecting a broad and diverse customer base.</w:t>
      </w:r>
    </w:p>
    <w:p w14:paraId="67568C2E" w14:textId="77777777" w:rsidR="00ED45E2" w:rsidRPr="00ED45E2" w:rsidRDefault="00ED45E2" w:rsidP="00ED45E2">
      <w:r w:rsidRPr="00ED45E2">
        <w:rPr>
          <w:b/>
          <w:bCs/>
        </w:rPr>
        <w:t>Yearly Performance:</w:t>
      </w:r>
    </w:p>
    <w:p w14:paraId="7E4CA722" w14:textId="77777777" w:rsidR="00ED45E2" w:rsidRPr="00ED45E2" w:rsidRDefault="00ED45E2" w:rsidP="00ED45E2">
      <w:pPr>
        <w:numPr>
          <w:ilvl w:val="0"/>
          <w:numId w:val="2"/>
        </w:numPr>
      </w:pPr>
      <w:r w:rsidRPr="00ED45E2">
        <w:t>Revenue shows a clear upward trend, with significant year-over-year growth, suggesting effective sales strategies and market expansion.</w:t>
      </w:r>
    </w:p>
    <w:p w14:paraId="5DB4CF2B" w14:textId="77777777" w:rsidR="00ED45E2" w:rsidRPr="00ED45E2" w:rsidRDefault="00ED45E2" w:rsidP="00ED45E2">
      <w:r w:rsidRPr="00ED45E2">
        <w:rPr>
          <w:b/>
          <w:bCs/>
        </w:rPr>
        <w:t>Geographic Insights:</w:t>
      </w:r>
    </w:p>
    <w:p w14:paraId="7C7C7C5C" w14:textId="77777777" w:rsidR="00ED45E2" w:rsidRPr="00ED45E2" w:rsidRDefault="00ED45E2" w:rsidP="00ED45E2">
      <w:pPr>
        <w:numPr>
          <w:ilvl w:val="0"/>
          <w:numId w:val="3"/>
        </w:numPr>
      </w:pPr>
      <w:r w:rsidRPr="00ED45E2">
        <w:rPr>
          <w:b/>
          <w:bCs/>
        </w:rPr>
        <w:t>Top Countries (Excluding UK):</w:t>
      </w:r>
      <w:r w:rsidRPr="00ED45E2">
        <w:t xml:space="preserve"> Netherlands, EIRE, Germany, and France lead in total revenue.</w:t>
      </w:r>
    </w:p>
    <w:p w14:paraId="4EBBCA29" w14:textId="77777777" w:rsidR="00ED45E2" w:rsidRPr="00ED45E2" w:rsidRDefault="00ED45E2" w:rsidP="00ED45E2">
      <w:pPr>
        <w:numPr>
          <w:ilvl w:val="0"/>
          <w:numId w:val="3"/>
        </w:numPr>
      </w:pPr>
      <w:r w:rsidRPr="00ED45E2">
        <w:t>Global distribution map reveals strong sales concentration in Europe, with notable presence in North America, Asia, and Australia.</w:t>
      </w:r>
    </w:p>
    <w:p w14:paraId="154760BD" w14:textId="77777777" w:rsidR="00ED45E2" w:rsidRPr="00ED45E2" w:rsidRDefault="00ED45E2" w:rsidP="00ED45E2">
      <w:r w:rsidRPr="00ED45E2">
        <w:rPr>
          <w:b/>
          <w:bCs/>
        </w:rPr>
        <w:t>Product Insights:</w:t>
      </w:r>
    </w:p>
    <w:p w14:paraId="6E56DDF7" w14:textId="77777777" w:rsidR="00ED45E2" w:rsidRPr="00ED45E2" w:rsidRDefault="00ED45E2" w:rsidP="00ED45E2">
      <w:pPr>
        <w:numPr>
          <w:ilvl w:val="0"/>
          <w:numId w:val="4"/>
        </w:numPr>
      </w:pPr>
      <w:r w:rsidRPr="00ED45E2">
        <w:t xml:space="preserve">Leading products by revenue include </w:t>
      </w:r>
      <w:r w:rsidRPr="00ED45E2">
        <w:rPr>
          <w:i/>
          <w:iCs/>
        </w:rPr>
        <w:t>Paper Craft Items</w:t>
      </w:r>
      <w:r w:rsidRPr="00ED45E2">
        <w:t xml:space="preserve">, </w:t>
      </w:r>
      <w:r w:rsidRPr="00ED45E2">
        <w:rPr>
          <w:i/>
          <w:iCs/>
        </w:rPr>
        <w:t>Regency Cakes</w:t>
      </w:r>
      <w:r w:rsidRPr="00ED45E2">
        <w:t xml:space="preserve">, and </w:t>
      </w:r>
      <w:r w:rsidRPr="00ED45E2">
        <w:rPr>
          <w:i/>
          <w:iCs/>
        </w:rPr>
        <w:t>White Hanging Decorations</w:t>
      </w:r>
      <w:r w:rsidRPr="00ED45E2">
        <w:t>.</w:t>
      </w:r>
    </w:p>
    <w:p w14:paraId="158E4C7C" w14:textId="77777777" w:rsidR="00ED45E2" w:rsidRPr="00ED45E2" w:rsidRDefault="00ED45E2" w:rsidP="00ED45E2">
      <w:pPr>
        <w:numPr>
          <w:ilvl w:val="0"/>
          <w:numId w:val="4"/>
        </w:numPr>
      </w:pPr>
      <w:r w:rsidRPr="00ED45E2">
        <w:t>Sales distribution indicates a focus on decorative and craft-based merchandise.</w:t>
      </w:r>
    </w:p>
    <w:p w14:paraId="0F18FF5A" w14:textId="77777777" w:rsidR="00ED45E2" w:rsidRPr="00ED45E2" w:rsidRDefault="00ED45E2" w:rsidP="00ED45E2">
      <w:r w:rsidRPr="00ED45E2">
        <w:rPr>
          <w:b/>
          <w:bCs/>
        </w:rPr>
        <w:t>Customer &amp; Invoice Insights:</w:t>
      </w:r>
    </w:p>
    <w:p w14:paraId="4D08CC0D" w14:textId="77777777" w:rsidR="00ED45E2" w:rsidRPr="00ED45E2" w:rsidRDefault="00ED45E2" w:rsidP="00ED45E2">
      <w:pPr>
        <w:numPr>
          <w:ilvl w:val="0"/>
          <w:numId w:val="5"/>
        </w:numPr>
      </w:pPr>
      <w:r w:rsidRPr="00ED45E2">
        <w:t>Top invoices generated over $500K each, highlighting large bulk orders from key clients.</w:t>
      </w:r>
    </w:p>
    <w:p w14:paraId="6588FCF1" w14:textId="77777777" w:rsidR="00ED45E2" w:rsidRPr="00ED45E2" w:rsidRDefault="00ED45E2" w:rsidP="00ED45E2">
      <w:r w:rsidRPr="00ED45E2">
        <w:rPr>
          <w:b/>
          <w:bCs/>
        </w:rPr>
        <w:t>Business Implications:</w:t>
      </w:r>
    </w:p>
    <w:p w14:paraId="535C8ACF" w14:textId="77777777" w:rsidR="00ED45E2" w:rsidRPr="00ED45E2" w:rsidRDefault="00ED45E2" w:rsidP="00ED45E2">
      <w:pPr>
        <w:numPr>
          <w:ilvl w:val="0"/>
          <w:numId w:val="6"/>
        </w:numPr>
      </w:pPr>
      <w:r w:rsidRPr="00ED45E2">
        <w:t>Expansion opportunities exist in underrepresented regions shown on the map.</w:t>
      </w:r>
    </w:p>
    <w:p w14:paraId="2045F833" w14:textId="77777777" w:rsidR="00ED45E2" w:rsidRPr="00ED45E2" w:rsidRDefault="00ED45E2" w:rsidP="00ED45E2">
      <w:pPr>
        <w:numPr>
          <w:ilvl w:val="0"/>
          <w:numId w:val="6"/>
        </w:numPr>
      </w:pPr>
      <w:r w:rsidRPr="00ED45E2">
        <w:t>Maintaining high-performing product lines while exploring diversification could sustain growth.</w:t>
      </w:r>
    </w:p>
    <w:p w14:paraId="374F7D91" w14:textId="77777777" w:rsidR="00ED45E2" w:rsidRPr="00ED45E2" w:rsidRDefault="00ED45E2" w:rsidP="00ED45E2">
      <w:pPr>
        <w:numPr>
          <w:ilvl w:val="0"/>
          <w:numId w:val="6"/>
        </w:numPr>
      </w:pPr>
      <w:r w:rsidRPr="00ED45E2">
        <w:t>Strengthening relationships with top customers and leveraging their order patterns can maximize revenue potential.</w:t>
      </w:r>
    </w:p>
    <w:p w14:paraId="2C1552B6" w14:textId="77777777" w:rsidR="00CB002A" w:rsidRDefault="00CB002A"/>
    <w:sectPr w:rsidR="00CB0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37A6C"/>
    <w:multiLevelType w:val="multilevel"/>
    <w:tmpl w:val="9970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04D7E"/>
    <w:multiLevelType w:val="multilevel"/>
    <w:tmpl w:val="4A26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626F9"/>
    <w:multiLevelType w:val="multilevel"/>
    <w:tmpl w:val="BF26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70588"/>
    <w:multiLevelType w:val="multilevel"/>
    <w:tmpl w:val="BAB2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E27BBB"/>
    <w:multiLevelType w:val="multilevel"/>
    <w:tmpl w:val="16C6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F3452"/>
    <w:multiLevelType w:val="multilevel"/>
    <w:tmpl w:val="CA26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880492">
    <w:abstractNumId w:val="4"/>
  </w:num>
  <w:num w:numId="2" w16cid:durableId="33703004">
    <w:abstractNumId w:val="0"/>
  </w:num>
  <w:num w:numId="3" w16cid:durableId="665405764">
    <w:abstractNumId w:val="2"/>
  </w:num>
  <w:num w:numId="4" w16cid:durableId="956985896">
    <w:abstractNumId w:val="5"/>
  </w:num>
  <w:num w:numId="5" w16cid:durableId="1233084256">
    <w:abstractNumId w:val="3"/>
  </w:num>
  <w:num w:numId="6" w16cid:durableId="1701785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E2"/>
    <w:rsid w:val="00244968"/>
    <w:rsid w:val="002B59BB"/>
    <w:rsid w:val="002C0D17"/>
    <w:rsid w:val="00647862"/>
    <w:rsid w:val="006F4D60"/>
    <w:rsid w:val="00714C79"/>
    <w:rsid w:val="00CB002A"/>
    <w:rsid w:val="00E707F1"/>
    <w:rsid w:val="00ED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0DD9"/>
  <w15:chartTrackingRefBased/>
  <w15:docId w15:val="{80BE9A89-3511-4F7D-8EBE-49461235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5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5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5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5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5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5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5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5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5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5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prateekkudari143@gmail.com</dc:creator>
  <cp:keywords/>
  <dc:description/>
  <cp:lastModifiedBy>prateekkudari143@gmail.com</cp:lastModifiedBy>
  <cp:revision>2</cp:revision>
  <cp:lastPrinted>2025-08-15T08:34:00Z</cp:lastPrinted>
  <dcterms:created xsi:type="dcterms:W3CDTF">2025-08-15T08:35:00Z</dcterms:created>
  <dcterms:modified xsi:type="dcterms:W3CDTF">2025-08-15T08:35:00Z</dcterms:modified>
</cp:coreProperties>
</file>