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media/image3.png" ContentType="image/png"/>
  <Override PartName="/word/media/image1.jpeg" ContentType="image/jpeg"/>
  <Override PartName="/word/media/image2.png" ContentType="image/png"/>
  <Override PartName="/word/diagrams/drawing6.xml" ContentType="application/vnd.openxmlformats-officedocument.drawingml.diagramDrawing+xml"/>
  <Override PartName="/word/diagrams/colors6.xml" ContentType="application/vnd.openxmlformats-officedocument.drawingml.diagramColors+xml"/>
  <Override PartName="/word/diagrams/quickStyle6.xml" ContentType="application/vnd.openxmlformats-officedocument.drawingml.diagramStyle+xml"/>
  <Override PartName="/word/diagrams/data6.xml" ContentType="application/vnd.openxmlformats-officedocument.drawingml.diagramData+xml"/>
  <Override PartName="/word/diagrams/layout6.xml" ContentType="application/vnd.openxmlformats-officedocument.drawingml.diagramLayout+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 article for verification purpose </w:t>
      </w:r>
    </w:p>
    <w:p>
      <w:pPr>
        <w:pStyle w:val="Normal"/>
        <w:rPr/>
      </w:pPr>
      <w:r>
        <w:rPr/>
        <w:t>In exercise of the powers conferred by clause (vii) of sub-section (1), sub-section(6A) of section 139A, and clause (ab) of Explanation to the said section read with section 295 of the Income-tax Act, 1961 (43 of 1961), the Central Board of Direct Taxes hereby makes the following rules further to amend the Income-tax Rules, 1962, namely:- 1. Short title and commencement.–– (1) These rules may be called the Income–tax (Fifteenth Amendment) Rules, 2022. 4 THE GAZETTE OF INDIA : EXTRAORDINARY [PART II—SEC. 3(i)] (2) Save as otherwise provided in these rules, they shall come into force after the expiry of fifteen days from the date of their publication in the Official Gazette. 2. In the Income-tax Rules, 1962,–– (a) in rule 114, in sub-rule (3), after clause (vi), the following clause shall be inserted, namely:— “(vii) in the case of a person who intends to enter into the transaction prescribed under clause (vii) of sub-section (1) of section 139A, at least seven days before the date on which he intends to enter into the said transaction.”; (b) after rule 114B, the following rule shall be inserted, namely:― “114BA. Transactions for the purposes of clause (vii) of sub-section (1) of section 139A.–– The following shall be the transactions for the purposes of clause (vii) of sub-section (1) of section 139A, namely:— (a) cash deposit or deposits aggregating to twenty lakh rupees or more in a financial year, in one or more account of a person with a banking company or a co-operative bank to which the Banking Regulation Act, 1949 (10 of 1949) applies (including any bank or banking institution referred to in section 51 of that Act) or a Post Office; (b) cash withdrawal or withdrawals aggregating to twenty lakh rupees or more in a financial year, in one or more account of a person with a banking company or a co-operative bank to which the Banking Regulation Act, 1949 (10 of 1949) applies (including any bank or banking institution referred to in section 51 of that Act) or a Post Office; (c) opening of a current account or cash credit account by a person with a banking company or a co-operative bank to which the Banking Regulation Act, 1949 (10 of 1949) applies (including any bank or banking institution referred to in section 51 of that Act) or a Post Office.”; (c) after rule 114BA, as so inserted by the Income-tax (Fifteenth Amendment) Rules, 2022, the following rule shall be inserted after the expiry of sixty days from the date on which this notification is published in the Official Gazette, namely:— “114BB. Transactions for the purposes of sub-section (6A) of section 139A and prescribed person for the purposes of clause (ab) of Explanation to section 139A.–– (1) Every person shall, at the time of entering into a transaction specified in column (2) of the Table below, quote his permanent account number or Aadhaar number, as the case may be, in documents pertaining to such transaction, and every person specified in column (3) of the said Table, who receives such document, shall ensure that the said number has been duly quoted and authenticated— TABLE Sl. No. Nature of transaction Person (1) (2) (3) 1. Cash deposit or deposits aggregating to twenty lakh rupees or more in a financial year, in one or more account of a person with, — (i) A banking company or a co-operative bank to which the Banking Regulation Act, 1949 (10 of 1949) applies (including any bank or banking institution referred to in section 51 of that Act); (ii) Post Office (i) A banking company or a co-operative bank to which the Banking Regulation Act, 1949 (10 of 1949) applies (including any bank or banking institution referred to in section 51 of that Act); (ii) Post Master General as referred to in clause (j) of section 2 of the Indian Post Office Act, 1898 (6 of 1898). [</w:t>
      </w:r>
      <w:r>
        <w:rPr>
          <w:rFonts w:ascii="Nirmala UI" w:hAnsi="Nirmala UI" w:cs="Nirmala UI"/>
        </w:rPr>
        <w:t>भाग</w:t>
      </w:r>
      <w:r>
        <w:rPr/>
        <w:t xml:space="preserve"> </w:t>
      </w:r>
      <w:r>
        <w:rPr/>
        <w:t>II—</w:t>
      </w:r>
      <w:r>
        <w:rPr>
          <w:rFonts w:ascii="Nirmala UI" w:hAnsi="Nirmala UI" w:cs="Nirmala UI"/>
        </w:rPr>
        <w:t>खण्</w:t>
      </w:r>
      <w:r>
        <w:rPr/>
        <w:t xml:space="preserve"> </w:t>
      </w:r>
      <w:r>
        <w:rPr>
          <w:rFonts w:ascii="Nirmala UI" w:hAnsi="Nirmala UI" w:cs="Nirmala UI"/>
        </w:rPr>
        <w:t>ड</w:t>
      </w:r>
      <w:r>
        <w:rPr/>
        <w:t xml:space="preserve"> </w:t>
      </w:r>
      <w:r>
        <w:rPr/>
        <w:t xml:space="preserve">3(i)] </w:t>
      </w:r>
      <w:r>
        <w:rPr>
          <w:rFonts w:ascii="Nirmala UI" w:hAnsi="Nirmala UI" w:cs="Nirmala UI"/>
        </w:rPr>
        <w:t>भारत</w:t>
      </w:r>
      <w:r>
        <w:rPr/>
        <w:t xml:space="preserve"> </w:t>
      </w:r>
      <w:r>
        <w:rPr>
          <w:rFonts w:ascii="Nirmala UI" w:hAnsi="Nirmala UI" w:cs="Nirmala UI"/>
        </w:rPr>
        <w:t>का</w:t>
      </w:r>
      <w:r>
        <w:rPr/>
        <w:t xml:space="preserve"> </w:t>
      </w:r>
      <w:r>
        <w:rPr>
          <w:rFonts w:ascii="Nirmala UI" w:hAnsi="Nirmala UI" w:cs="Nirmala UI"/>
        </w:rPr>
        <w:t>रािप्</w:t>
      </w:r>
      <w:r>
        <w:rPr/>
        <w:t xml:space="preserve"> </w:t>
      </w:r>
      <w:r>
        <w:rPr/>
        <w:t xml:space="preserve">: </w:t>
      </w:r>
      <w:r>
        <w:rPr>
          <w:rFonts w:ascii="Nirmala UI" w:hAnsi="Nirmala UI" w:cs="Nirmala UI"/>
        </w:rPr>
        <w:t>असाधारण</w:t>
      </w:r>
      <w:r>
        <w:rPr/>
        <w:t xml:space="preserve"> </w:t>
      </w:r>
      <w:r>
        <w:rPr/>
        <w:t>5 Sl. No. Nature of transaction Person (1) (2) (3) 2. Cash withdrawal or withdrawals aggregating to twenty lakh rupees or more in a financial year, in one or more account of a person with, — (i) A banking company or a co-operative bank to which the Banking Regulation Act, 1949 (10 of 1949) applies (including any bank or banking institution referred to in section 51 of that Act); (ii) Post Office (i) A banking company or a co-operative bank to which the Banking Regulation Act, 1949 (10 of 1949) applies (including any bank or banking institution referred to in section 51 of that Act); (ii) Post Master General as referred to in clause (j) of section 2 of the Indian Post Office Act, 1898 (6 of 1898). 3. Opening of a current account or cash credit account by a person with, — (i) A banking company or a co-operative bank to which the Banking Regulation Act, 1949 (10 of 1949) applies (including any bank or banking institution referred to in section 51 of that Act); (ii) Post Office (i) A banking company or a co-operative bank to which the Banking Regulation Act, 1949 (10 of 1949) applies (including any bank or banking institution referred to in section 51 of that Act); (ii) Post Master General as referred to in clause (j) of section 2 of the Indian Post Office Act, 1898 (6 of 1898). (2) The permanent account number or Aadhaar number alongwith demographic information or biometric information of an individual shall be submitted to the Principal Director General of Income-tax (Systems) or Director General of Income-tax (Systems) or the person authorised by the Principal Director General of Income-tax (Systems) or Director General of Income-tax (Systems) with the approval of the Board, for the purposes of authentication referred to in section 139A. (3) Principal Director General of Income-tax (Systems) or Director General of Income-tax (Systems) shall lay down the formats and standards along with procedure for authentication of permanent account number or Aadhaar number.”. [Notification No. 53/2022/F.No. 370142/49/2020-TPL] SHEFALI SINGH, Under Secy., Tax Policy and Legislation Note:- The principal rules were published vide notification S.O. 969(E), dated the 26th March, 1962 and last amended vide notification GSR 343(E), dated the 09th May, 2022. Uploaded by Dte. of Printing at Government of India Press, Ring Road, Mayapuri, New Delhi-110064</w:t>
      </w:r>
    </w:p>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tc>
          <w:tcPr>
            <w:tcW w:w="2254" w:type="dxa"/>
            <w:tcBorders/>
            <w:shd w:fill="auto" w:val="clear"/>
          </w:tcPr>
          <w:p>
            <w:pPr>
              <w:pStyle w:val="Normal"/>
              <w:spacing w:lineRule="auto" w:line="240" w:before="0" w:after="0"/>
              <w:rPr/>
            </w:pPr>
            <w:r>
              <w:rPr/>
              <w:t>S. No.</w:t>
            </w:r>
          </w:p>
        </w:tc>
        <w:tc>
          <w:tcPr>
            <w:tcW w:w="2254" w:type="dxa"/>
            <w:tcBorders/>
            <w:shd w:fill="auto" w:val="clear"/>
          </w:tcPr>
          <w:p>
            <w:pPr>
              <w:pStyle w:val="Normal"/>
              <w:spacing w:lineRule="auto" w:line="240" w:before="0" w:after="0"/>
              <w:rPr/>
            </w:pPr>
            <w:r>
              <w:rPr/>
              <w:t>Name</w:t>
            </w:r>
          </w:p>
        </w:tc>
        <w:tc>
          <w:tcPr>
            <w:tcW w:w="2254" w:type="dxa"/>
            <w:tcBorders/>
            <w:shd w:fill="auto" w:val="clear"/>
          </w:tcPr>
          <w:p>
            <w:pPr>
              <w:pStyle w:val="Normal"/>
              <w:spacing w:lineRule="auto" w:line="240" w:before="0" w:after="0"/>
              <w:rPr/>
            </w:pPr>
            <w:r>
              <w:rPr/>
              <w:t>Amount (Rs.)</w:t>
            </w:r>
          </w:p>
        </w:tc>
        <w:tc>
          <w:tcPr>
            <w:tcW w:w="2253" w:type="dxa"/>
            <w:tcBorders/>
            <w:shd w:fill="auto" w:val="clear"/>
          </w:tcPr>
          <w:p>
            <w:pPr>
              <w:pStyle w:val="Normal"/>
              <w:spacing w:lineRule="auto" w:line="240" w:before="0" w:after="0"/>
              <w:rPr/>
            </w:pPr>
            <w:r>
              <w:rPr/>
              <w:t>Due date</w:t>
            </w:r>
          </w:p>
        </w:tc>
      </w:tr>
      <w:tr>
        <w:trPr/>
        <w:tc>
          <w:tcPr>
            <w:tcW w:w="2254" w:type="dxa"/>
            <w:tcBorders/>
            <w:shd w:fill="auto" w:val="clear"/>
          </w:tcPr>
          <w:p>
            <w:pPr>
              <w:pStyle w:val="Normal"/>
              <w:spacing w:lineRule="auto" w:line="240" w:before="0" w:after="0"/>
              <w:rPr/>
            </w:pPr>
            <w:r>
              <w:rPr/>
              <w:t>1.</w:t>
            </w:r>
          </w:p>
        </w:tc>
        <w:tc>
          <w:tcPr>
            <w:tcW w:w="2254" w:type="dxa"/>
            <w:tcBorders/>
            <w:shd w:fill="auto" w:val="clear"/>
          </w:tcPr>
          <w:p>
            <w:pPr>
              <w:pStyle w:val="Normal"/>
              <w:spacing w:lineRule="auto" w:line="240" w:before="0" w:after="0"/>
              <w:rPr/>
            </w:pPr>
            <w:r>
              <w:rPr/>
              <w:t>Ram Kumar</w:t>
            </w:r>
          </w:p>
        </w:tc>
        <w:tc>
          <w:tcPr>
            <w:tcW w:w="2254" w:type="dxa"/>
            <w:tcBorders/>
            <w:shd w:fill="auto" w:val="clear"/>
          </w:tcPr>
          <w:p>
            <w:pPr>
              <w:pStyle w:val="Normal"/>
              <w:spacing w:lineRule="auto" w:line="240" w:before="0" w:after="0"/>
              <w:rPr/>
            </w:pPr>
            <w:r>
              <w:rPr/>
              <w:t>5,00,405</w:t>
            </w:r>
          </w:p>
        </w:tc>
        <w:tc>
          <w:tcPr>
            <w:tcW w:w="2253" w:type="dxa"/>
            <w:tcBorders/>
            <w:shd w:fill="auto" w:val="clear"/>
          </w:tcPr>
          <w:p>
            <w:pPr>
              <w:pStyle w:val="Normal"/>
              <w:spacing w:lineRule="auto" w:line="240" w:before="0" w:after="0"/>
              <w:rPr/>
            </w:pPr>
            <w:r>
              <w:rPr/>
              <w:t>15.06.2022</w:t>
            </w:r>
          </w:p>
        </w:tc>
      </w:tr>
      <w:tr>
        <w:trPr/>
        <w:tc>
          <w:tcPr>
            <w:tcW w:w="2254" w:type="dxa"/>
            <w:tcBorders/>
            <w:shd w:fill="auto" w:val="clear"/>
          </w:tcPr>
          <w:p>
            <w:pPr>
              <w:pStyle w:val="Normal"/>
              <w:spacing w:lineRule="auto" w:line="240" w:before="0" w:after="0"/>
              <w:rPr/>
            </w:pPr>
            <w:r>
              <w:rPr/>
              <w:t>2.</w:t>
            </w:r>
          </w:p>
        </w:tc>
        <w:tc>
          <w:tcPr>
            <w:tcW w:w="2254" w:type="dxa"/>
            <w:tcBorders/>
            <w:shd w:fill="auto" w:val="clear"/>
          </w:tcPr>
          <w:p>
            <w:pPr>
              <w:pStyle w:val="Normal"/>
              <w:spacing w:lineRule="auto" w:line="240" w:before="0" w:after="0"/>
              <w:rPr/>
            </w:pPr>
            <w:r>
              <w:rPr/>
              <w:t>Shyam Kumar</w:t>
            </w:r>
          </w:p>
        </w:tc>
        <w:tc>
          <w:tcPr>
            <w:tcW w:w="2254" w:type="dxa"/>
            <w:tcBorders/>
            <w:shd w:fill="auto" w:val="clear"/>
          </w:tcPr>
          <w:p>
            <w:pPr>
              <w:pStyle w:val="Normal"/>
              <w:spacing w:lineRule="auto" w:line="240" w:before="0" w:after="0"/>
              <w:rPr/>
            </w:pPr>
            <w:r>
              <w:rPr/>
              <w:t>1,000</w:t>
            </w:r>
          </w:p>
        </w:tc>
        <w:tc>
          <w:tcPr>
            <w:tcW w:w="2253" w:type="dxa"/>
            <w:tcBorders/>
            <w:shd w:fill="auto" w:val="clear"/>
          </w:tcPr>
          <w:p>
            <w:pPr>
              <w:pStyle w:val="Normal"/>
              <w:spacing w:lineRule="auto" w:line="240" w:before="0" w:after="0"/>
              <w:rPr/>
            </w:pPr>
            <w:r>
              <w:rPr/>
              <w:t>14/06/2022</w:t>
            </w:r>
          </w:p>
        </w:tc>
      </w:tr>
      <w:tr>
        <w:trPr/>
        <w:tc>
          <w:tcPr>
            <w:tcW w:w="2254" w:type="dxa"/>
            <w:tcBorders/>
            <w:shd w:fill="auto" w:val="clear"/>
          </w:tcPr>
          <w:p>
            <w:pPr>
              <w:pStyle w:val="Normal"/>
              <w:spacing w:lineRule="auto" w:line="240" w:before="0" w:after="0"/>
              <w:rPr/>
            </w:pPr>
            <w:r>
              <w:rPr/>
              <w:t>3.</w:t>
            </w:r>
          </w:p>
        </w:tc>
        <w:tc>
          <w:tcPr>
            <w:tcW w:w="2254" w:type="dxa"/>
            <w:tcBorders/>
            <w:shd w:fill="auto" w:val="clear"/>
          </w:tcPr>
          <w:p>
            <w:pPr>
              <w:pStyle w:val="Normal"/>
              <w:spacing w:lineRule="auto" w:line="240" w:before="0" w:after="0"/>
              <w:rPr/>
            </w:pPr>
            <w:r>
              <w:rPr/>
              <w:t>Krishna kumar</w:t>
            </w:r>
          </w:p>
        </w:tc>
        <w:tc>
          <w:tcPr>
            <w:tcW w:w="2254" w:type="dxa"/>
            <w:tcBorders/>
            <w:shd w:fill="auto" w:val="clear"/>
          </w:tcPr>
          <w:p>
            <w:pPr>
              <w:pStyle w:val="Normal"/>
              <w:spacing w:lineRule="auto" w:line="240" w:before="0" w:after="0"/>
              <w:rPr/>
            </w:pPr>
            <w:r>
              <w:rPr/>
              <w:t>1234!@#$%^&amp;*()-_++</w:t>
            </w:r>
          </w:p>
        </w:tc>
        <w:tc>
          <w:tcPr>
            <w:tcW w:w="2253" w:type="dxa"/>
            <w:tcBorders/>
            <w:shd w:fill="auto" w:val="clear"/>
          </w:tcPr>
          <w:p>
            <w:pPr>
              <w:pStyle w:val="Normal"/>
              <w:spacing w:lineRule="auto" w:line="240" w:before="0" w:after="0"/>
              <w:rPr/>
            </w:pPr>
            <w:r>
              <w:rPr/>
              <w:t>:;”’&lt;,&gt;.?/[]{}\|</w:t>
            </w:r>
          </w:p>
        </w:tc>
      </w:tr>
      <w:tr>
        <w:trPr/>
        <w:tc>
          <w:tcPr>
            <w:tcW w:w="2254" w:type="dxa"/>
            <w:tcBorders/>
            <w:shd w:fill="auto" w:val="clear"/>
          </w:tcPr>
          <w:p>
            <w:pPr>
              <w:pStyle w:val="Normal"/>
              <w:spacing w:lineRule="auto" w:line="240" w:before="0" w:after="0"/>
              <w:rPr/>
            </w:pPr>
            <w:r>
              <w:rPr/>
              <w:t>4.</w:t>
            </w:r>
          </w:p>
        </w:tc>
        <w:tc>
          <w:tcPr>
            <w:tcW w:w="2254" w:type="dxa"/>
            <w:tcBorders/>
            <w:shd w:fill="auto" w:val="clear"/>
          </w:tcPr>
          <w:p>
            <w:pPr>
              <w:pStyle w:val="Normal"/>
              <w:spacing w:lineRule="auto" w:line="240" w:before="0" w:after="0"/>
              <w:rPr/>
            </w:pPr>
            <w:r>
              <w:rPr/>
            </w:r>
          </w:p>
        </w:tc>
        <w:tc>
          <w:tcPr>
            <w:tcW w:w="2254" w:type="dxa"/>
            <w:tcBorders/>
            <w:shd w:fill="auto" w:val="clear"/>
          </w:tcPr>
          <w:p>
            <w:pPr>
              <w:pStyle w:val="Normal"/>
              <w:spacing w:lineRule="auto" w:line="240" w:before="0" w:after="0"/>
              <w:rPr/>
            </w:pPr>
            <w:r>
              <w:rPr/>
            </w:r>
          </w:p>
        </w:tc>
        <w:tc>
          <w:tcPr>
            <w:tcW w:w="2253" w:type="dxa"/>
            <w:tcBorders/>
            <w:shd w:fill="auto" w:val="clear"/>
          </w:tcPr>
          <w:p>
            <w:pPr>
              <w:pStyle w:val="Normal"/>
              <w:spacing w:lineRule="auto" w:line="240" w:before="0" w:after="0"/>
              <w:rPr/>
            </w:pPr>
            <w:r>
              <w:rPr/>
            </w:r>
          </w:p>
        </w:tc>
      </w:tr>
    </w:tbl>
    <w:p>
      <w:pPr>
        <w:pStyle w:val="Normal"/>
        <w:rPr/>
      </w:pPr>
      <w:r>
        <w:rPr/>
        <w:t xml:space="preserve"> </w:t>
      </w:r>
    </w:p>
    <w:p>
      <w:pPr>
        <w:pStyle w:val="Normal"/>
        <w:rPr/>
      </w:pPr>
      <w:r>
        <w:rPr/>
        <w:t>Insertion of chart</w:t>
      </w:r>
    </w:p>
    <w:p>
      <w:pPr>
        <w:pStyle w:val="Normal"/>
        <w:rPr/>
      </w:pPr>
      <w:r>
        <w:rPr/>
        <w:drawing>
          <wp:inline distT="0" distB="0" distL="0" distR="0">
            <wp:extent cx="548640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t>Insert photo</w:t>
      </w:r>
    </w:p>
    <w:p>
      <w:pPr>
        <w:pStyle w:val="Normal"/>
        <w:rPr/>
      </w:pPr>
      <w:r>
        <w:rPr/>
        <w:drawing>
          <wp:inline distT="0" distB="0" distL="0" distR="0">
            <wp:extent cx="1516380" cy="1598295"/>
            <wp:effectExtent l="0" t="0" r="0" b="0"/>
            <wp:docPr id="2" name="Picture 3" descr="A person with a mustach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person with a mustache&#10;&#10;Description automatically generated with medium confidence"/>
                    <pic:cNvPicPr>
                      <a:picLocks noChangeAspect="1" noChangeArrowheads="1"/>
                    </pic:cNvPicPr>
                  </pic:nvPicPr>
                  <pic:blipFill>
                    <a:blip r:embed="rId3"/>
                    <a:stretch>
                      <a:fillRect/>
                    </a:stretch>
                  </pic:blipFill>
                  <pic:spPr bwMode="auto">
                    <a:xfrm>
                      <a:off x="0" y="0"/>
                      <a:ext cx="1516380" cy="1598295"/>
                    </a:xfrm>
                    <a:prstGeom prst="rect">
                      <a:avLst/>
                    </a:prstGeom>
                  </pic:spPr>
                </pic:pic>
              </a:graphicData>
            </a:graphic>
          </wp:inline>
        </w:drawing>
      </w:r>
      <w:r>
        <w:rPr/>
        <w:drawing>
          <wp:inline distT="0" distB="0" distL="0" distR="0">
            <wp:extent cx="1329690" cy="1506220"/>
            <wp:effectExtent l="0" t="0" r="0" b="0"/>
            <wp:docPr id="3" name="Graphic 5" descr="Aspir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5" descr="Aspiration with solid fill"/>
                    <pic:cNvPicPr>
                      <a:picLocks noChangeAspect="1" noChangeArrowheads="1"/>
                    </pic:cNvPicPr>
                  </pic:nvPicPr>
                  <pic:blipFill>
                    <a:blip r:embed="rId4"/>
                    <a:stretch>
                      <a:fillRect/>
                    </a:stretch>
                  </pic:blipFill>
                  <pic:spPr bwMode="auto">
                    <a:xfrm>
                      <a:off x="0" y="0"/>
                      <a:ext cx="1329690" cy="1506220"/>
                    </a:xfrm>
                    <a:prstGeom prst="rect">
                      <a:avLst/>
                    </a:prstGeom>
                  </pic:spPr>
                </pic:pic>
              </a:graphicData>
            </a:graphic>
          </wp:inline>
        </w:drawing>
      </w:r>
    </w:p>
    <w:p>
      <w:pPr>
        <w:pStyle w:val="Normal"/>
        <w:rPr/>
      </w:pPr>
      <w:r>
        <w:rPr/>
        <mc:AlternateContent>
          <mc:Choice Requires="wps">
            <w:drawing>
              <wp:anchor behindDoc="0" distT="0" distB="0" distL="0" distR="0" simplePos="0" locked="0" layoutInCell="1" allowOverlap="1" relativeHeight="2" wp14:anchorId="4AAFB750">
                <wp:simplePos x="0" y="0"/>
                <wp:positionH relativeFrom="column">
                  <wp:posOffset>54610</wp:posOffset>
                </wp:positionH>
                <wp:positionV relativeFrom="paragraph">
                  <wp:posOffset>88265</wp:posOffset>
                </wp:positionV>
                <wp:extent cx="1043940" cy="1043940"/>
                <wp:effectExtent l="0" t="0" r="24765" b="24765"/>
                <wp:wrapNone/>
                <wp:docPr id="4" name="Rectangle: Beveled 4"/>
                <a:graphic xmlns:a="http://schemas.openxmlformats.org/drawingml/2006/main">
                  <a:graphicData uri="http://schemas.microsoft.com/office/word/2010/wordprocessingShape">
                    <wps:wsp>
                      <wps:cNvSpPr/>
                      <wps:spPr>
                        <a:xfrm>
                          <a:off x="0" y="0"/>
                          <a:ext cx="1043280" cy="1043280"/>
                        </a:xfrm>
                        <a:prstGeom prst="bevel">
                          <a:avLst>
                            <a:gd name="adj" fmla="val 125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84" coordsize="21600,21600" o:spt="84" adj="2700" path="m@0@0l@1@0l@1@2l@0@2xnsem,l21600,l@1@0l@0@0xnsem,21600l@0@2l@1@2l21600,21600xnsem,l@0@0l@0@2l,21600xnsem21600,l21600,21600l@1@2l@1@0xnsem,l21600,l21600,21600l,21600xm@0@0l@1@0l@1@2l@0@2xm,l@0@0m,21600l@0@2m21600,l@1@0m21600,21600l@1@2nfe">
                <v:stroke joinstyle="miter"/>
                <v:formulas>
                  <v:f eqn="val #0"/>
                  <v:f eqn="sum width 0 @0"/>
                  <v:f eqn="sum height 0 @0"/>
                </v:formulas>
                <v:path gradientshapeok="t" o:connecttype="rect" textboxrect="@0,@0,@1,@2"/>
                <v:handles>
                  <v:h position="@0,0"/>
                </v:handles>
              </v:shapetype>
              <v:shape id="shape_0" ID="Rectangle: Beveled 4" fillcolor="#4472c4" stroked="t" style="position:absolute;margin-left:4.3pt;margin-top:6.95pt;width:82.1pt;height:82.1pt" wp14:anchorId="4AAFB750" type="shapetype_84">
                <w10:wrap type="none"/>
                <v:fill o:detectmouseclick="t" type="solid" color2="#bb8d3b"/>
                <v:stroke color="#325490" weight="12600" joinstyle="miter" endcap="flat"/>
              </v:shape>
            </w:pict>
          </mc:Fallback>
        </mc:AlternateContent>
        <mc:AlternateContent>
          <mc:Choice Requires="wps">
            <w:drawing>
              <wp:anchor behindDoc="0" distT="0" distB="0" distL="0" distR="0" simplePos="0" locked="0" layoutInCell="1" allowOverlap="1" relativeHeight="4" wp14:anchorId="38E3EB95">
                <wp:simplePos x="0" y="0"/>
                <wp:positionH relativeFrom="column">
                  <wp:posOffset>1955165</wp:posOffset>
                </wp:positionH>
                <wp:positionV relativeFrom="paragraph">
                  <wp:posOffset>121920</wp:posOffset>
                </wp:positionV>
                <wp:extent cx="915670" cy="1019175"/>
                <wp:effectExtent l="0" t="0" r="19050" b="11430"/>
                <wp:wrapNone/>
                <wp:docPr id="5" name="Rectangle 13"/>
                <a:graphic xmlns:a="http://schemas.openxmlformats.org/drawingml/2006/main">
                  <a:graphicData uri="http://schemas.microsoft.com/office/word/2010/wordprocessingShape">
                    <wps:wsp>
                      <wps:cNvSpPr/>
                      <wps:spPr>
                        <a:xfrm>
                          <a:off x="0" y="0"/>
                          <a:ext cx="915120" cy="1018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4472c4" stroked="t" style="position:absolute;margin-left:153.95pt;margin-top:9.6pt;width:72pt;height:80.15pt" wp14:anchorId="38E3EB95">
                <w10:wrap type="none"/>
                <v:fill o:detectmouseclick="t" type="solid" color2="#bb8d3b"/>
                <v:stroke color="#325490" weight="1260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14:anchorId="5AD28616">
            <wp:extent cx="3630930" cy="2755265"/>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1" allowOverlap="1" relativeHeight="3">
            <wp:simplePos x="0" y="0"/>
            <wp:positionH relativeFrom="column">
              <wp:posOffset>3175</wp:posOffset>
            </wp:positionH>
            <wp:positionV relativeFrom="paragraph">
              <wp:posOffset>-624840</wp:posOffset>
            </wp:positionV>
            <wp:extent cx="2578735" cy="1440180"/>
            <wp:effectExtent l="0" t="0" r="0" b="0"/>
            <wp:wrapNone/>
            <wp:docPr id="7" name="In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 9" descr=""/>
                    <pic:cNvPicPr>
                      <a:picLocks noChangeAspect="1" noChangeArrowheads="1"/>
                    </pic:cNvPicPr>
                  </pic:nvPicPr>
                  <pic:blipFill>
                    <a:blip r:embed="rId10"/>
                    <a:stretch>
                      <a:fillRect/>
                    </a:stretch>
                  </pic:blipFill>
                  <pic:spPr bwMode="auto">
                    <a:xfrm>
                      <a:off x="0" y="0"/>
                      <a:ext cx="2578735" cy="1440180"/>
                    </a:xfrm>
                    <a:prstGeom prst="rect">
                      <a:avLst/>
                    </a:prstGeom>
                  </pic:spPr>
                </pic:pic>
              </a:graphicData>
            </a:graphic>
          </wp:anchor>
        </w:drawing>
      </w:r>
    </w:p>
    <w:sectPr>
      <w:footerReference w:type="default" r:id="rId11"/>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Nirmala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1702881"/>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157"/>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170a"/>
    <w:rPr/>
  </w:style>
  <w:style w:type="character" w:styleId="FooterChar" w:customStyle="1">
    <w:name w:val="Footer Char"/>
    <w:basedOn w:val="DefaultParagraphFont"/>
    <w:link w:val="Footer"/>
    <w:uiPriority w:val="99"/>
    <w:qFormat/>
    <w:rsid w:val="0012170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2170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2170a"/>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40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diagramData" Target="diagrams/data6.xml"/><Relationship Id="rId6" Type="http://schemas.openxmlformats.org/officeDocument/2006/relationships/diagramLayout" Target="diagrams/layout6.xml"/><Relationship Id="rId7" Type="http://schemas.openxmlformats.org/officeDocument/2006/relationships/diagramQuickStyle" Target="diagrams/quickStyle6.xml"/><Relationship Id="rId8" Type="http://schemas.openxmlformats.org/officeDocument/2006/relationships/diagramColors" Target="diagrams/colors6.xml"/><Relationship Id="rId9" Type="http://schemas.microsoft.com/office/2007/relationships/diagramDrawing" Target="diagrams/drawing6.xml"/><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Chart Title</a:t>
            </a:r>
          </a:p>
        </c:rich>
      </c:tx>
      <c:overlay val="0"/>
      <c:spPr>
        <a:noFill/>
        <a:ln>
          <a:noFill/>
        </a:ln>
      </c:spPr>
    </c:title>
    <c:autoTitleDeleted val="0"/>
    <c:plotArea>
      <c:barChart>
        <c:barDir val="col"/>
        <c:grouping val="clustered"/>
        <c:varyColors val="0"/>
        <c:ser>
          <c:idx val="0"/>
          <c:order val="0"/>
          <c:tx>
            <c:strRef>
              <c:f>label 0</c:f>
              <c:strCache>
                <c:ptCount val="1"/>
                <c:pt idx="0">
                  <c:v>Series 1</c:v>
                </c:pt>
              </c:strCache>
            </c:strRef>
          </c:tx>
          <c:spPr>
            <a:solidFill>
              <a:srgbClr val="4472c4"/>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Category 1</c:v>
                </c:pt>
                <c:pt idx="1">
                  <c:v>Category 2</c:v>
                </c:pt>
                <c:pt idx="2">
                  <c:v>Category 3</c:v>
                </c:pt>
                <c:pt idx="3">
                  <c:v>Category 4</c:v>
                </c:pt>
              </c:strCache>
            </c:strRef>
          </c:cat>
          <c:val>
            <c:numRef>
              <c:f>0</c:f>
              <c:numCache>
                <c:formatCode>General</c:formatCode>
                <c:ptCount val="4"/>
                <c:pt idx="0">
                  <c:v>5.3</c:v>
                </c:pt>
                <c:pt idx="1">
                  <c:v>2.5</c:v>
                </c:pt>
                <c:pt idx="2">
                  <c:v>3.5</c:v>
                </c:pt>
                <c:pt idx="3">
                  <c:v>4.5</c:v>
                </c:pt>
              </c:numCache>
            </c:numRef>
          </c:val>
        </c:ser>
        <c:ser>
          <c:idx val="1"/>
          <c:order val="1"/>
          <c:tx>
            <c:strRef>
              <c:f>label 1</c:f>
              <c:strCache>
                <c:ptCount val="1"/>
                <c:pt idx="0">
                  <c:v>Series 2</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Category 1</c:v>
                </c:pt>
                <c:pt idx="1">
                  <c:v>Category 2</c:v>
                </c:pt>
                <c:pt idx="2">
                  <c:v>Category 3</c:v>
                </c:pt>
                <c:pt idx="3">
                  <c:v>Category 4</c:v>
                </c:pt>
              </c:strCache>
            </c:strRef>
          </c:cat>
          <c:val>
            <c:numRef>
              <c:f>1</c:f>
              <c:numCache>
                <c:formatCode>General</c:formatCode>
                <c:ptCount val="4"/>
                <c:pt idx="0">
                  <c:v>3.3</c:v>
                </c:pt>
                <c:pt idx="1">
                  <c:v>4.4</c:v>
                </c:pt>
                <c:pt idx="2">
                  <c:v>1.8</c:v>
                </c:pt>
                <c:pt idx="3">
                  <c:v>2.8</c:v>
                </c:pt>
              </c:numCache>
            </c:numRef>
          </c:val>
        </c:ser>
        <c:ser>
          <c:idx val="2"/>
          <c:order val="2"/>
          <c:tx>
            <c:strRef>
              <c:f>label 2</c:f>
              <c:strCache>
                <c:ptCount val="1"/>
                <c:pt idx="0">
                  <c:v>Series 3</c:v>
                </c:pt>
              </c:strCache>
            </c:strRef>
          </c:tx>
          <c:spPr>
            <a:solidFill>
              <a:srgbClr val="a5a5a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2.5</c:v>
                </c:pt>
                <c:pt idx="1">
                  <c:v>2</c:v>
                </c:pt>
                <c:pt idx="2">
                  <c:v>3</c:v>
                </c:pt>
                <c:pt idx="3">
                  <c:v>5</c:v>
                </c:pt>
              </c:numCache>
            </c:numRef>
          </c:val>
        </c:ser>
        <c:gapWidth val="219"/>
        <c:overlap val="-27"/>
        <c:axId val="84972332"/>
        <c:axId val="37577808"/>
      </c:barChart>
      <c:catAx>
        <c:axId val="8497233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7577808"/>
        <c:crosses val="autoZero"/>
        <c:auto val="1"/>
        <c:lblAlgn val="ctr"/>
        <c:lblOffset val="100"/>
      </c:catAx>
      <c:valAx>
        <c:axId val="3757780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4972332"/>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6.xml><?xml version="1.0" encoding="utf-8"?>
<dgm:dataModel xmlns:dgm="http://schemas.openxmlformats.org/drawingml/2006/diagram" xmlns:a="http://schemas.openxmlformats.org/drawingml/2006/main">
  <dgm:ptLst>
    <dgm:pt modelId="{7D2F2E00-61A2-405A-B366-D77802F81637}"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IN"/>
        </a:p>
      </dgm:t>
    </dgm:pt>
    <dgm:pt modelId="{1B029F8F-4D91-41D7-813E-9F0481CAFE73}">
      <dgm:prSet phldrT="[Text]"/>
      <dgm:spPr/>
      <dgm:t>
        <a:bodyPr/>
        <a:lstStyle/>
        <a:p>
          <a:r>
            <a:rPr lang="en-IN"/>
            <a:t>MAS</a:t>
          </a:r>
        </a:p>
      </dgm:t>
    </dgm:pt>
    <dgm:pt modelId="{58519E36-9789-4C53-8510-1F1B84DE68BD}" type="parTrans" cxnId="{0C5D7C47-2F3A-409F-A15C-F09E60DE37A9}">
      <dgm:prSet/>
      <dgm:spPr/>
      <dgm:t>
        <a:bodyPr/>
        <a:lstStyle/>
        <a:p>
          <a:endParaRPr lang="en-IN"/>
        </a:p>
      </dgm:t>
    </dgm:pt>
    <dgm:pt modelId="{61A8304C-3160-4D16-9509-6CDB6F0981E8}" type="sibTrans" cxnId="{0C5D7C47-2F3A-409F-A15C-F09E60DE37A9}">
      <dgm:prSet/>
      <dgm:spPr/>
      <dgm:t>
        <a:bodyPr/>
        <a:lstStyle/>
        <a:p>
          <a:endParaRPr lang="en-IN"/>
        </a:p>
      </dgm:t>
    </dgm:pt>
    <dgm:pt modelId="{EE0C7A87-CD76-42C5-AB1D-FE5E593D74BD}">
      <dgm:prSet phldrT="[Text]"/>
      <dgm:spPr/>
      <dgm:t>
        <a:bodyPr/>
        <a:lstStyle/>
        <a:p>
          <a:r>
            <a:rPr lang="en-IN"/>
            <a:t>chart</a:t>
          </a:r>
        </a:p>
      </dgm:t>
    </dgm:pt>
    <dgm:pt modelId="{BD7140E8-649F-43D2-AAA9-F495C457761A}" type="parTrans" cxnId="{35F1F183-5770-4EC1-B61F-380CF1C2775C}">
      <dgm:prSet/>
      <dgm:spPr/>
      <dgm:t>
        <a:bodyPr/>
        <a:lstStyle/>
        <a:p>
          <a:endParaRPr lang="en-IN"/>
        </a:p>
      </dgm:t>
    </dgm:pt>
    <dgm:pt modelId="{87A52E3F-46D4-45CC-85C7-9458C0EBD5B7}" type="sibTrans" cxnId="{35F1F183-5770-4EC1-B61F-380CF1C2775C}">
      <dgm:prSet/>
      <dgm:spPr/>
      <dgm:t>
        <a:bodyPr/>
        <a:lstStyle/>
        <a:p>
          <a:endParaRPr lang="en-IN"/>
        </a:p>
      </dgm:t>
    </dgm:pt>
    <dgm:pt modelId="{B1316D4D-8B7C-42D6-B230-40C7B057BF09}">
      <dgm:prSet phldrT="[Text]"/>
      <dgm:spPr/>
      <dgm:t>
        <a:bodyPr/>
        <a:lstStyle/>
        <a:p>
          <a:r>
            <a:rPr lang="en-IN"/>
            <a:t>chart</a:t>
          </a:r>
        </a:p>
      </dgm:t>
    </dgm:pt>
    <dgm:pt modelId="{71075D95-CA89-4DBB-9C51-7A050C1FD3EC}" type="parTrans" cxnId="{DFAD53FE-D035-4BE9-87A4-CCB63194BB2E}">
      <dgm:prSet/>
      <dgm:spPr/>
      <dgm:t>
        <a:bodyPr/>
        <a:lstStyle/>
        <a:p>
          <a:endParaRPr lang="en-IN"/>
        </a:p>
      </dgm:t>
    </dgm:pt>
    <dgm:pt modelId="{262FB95A-4B5C-499C-88AE-EBAD19BAD2E3}" type="sibTrans" cxnId="{DFAD53FE-D035-4BE9-87A4-CCB63194BB2E}">
      <dgm:prSet/>
      <dgm:spPr/>
      <dgm:t>
        <a:bodyPr/>
        <a:lstStyle/>
        <a:p>
          <a:endParaRPr lang="en-IN"/>
        </a:p>
      </dgm:t>
    </dgm:pt>
    <dgm:pt modelId="{C5BF7D15-59AF-45CB-9B7B-60533AABBC2C}">
      <dgm:prSet phldrT="[Text]"/>
      <dgm:spPr/>
      <dgm:t>
        <a:bodyPr/>
        <a:lstStyle/>
        <a:p>
          <a:r>
            <a:rPr lang="en-IN"/>
            <a:t>regular</a:t>
          </a:r>
        </a:p>
      </dgm:t>
    </dgm:pt>
    <dgm:pt modelId="{742BA6B4-122C-4E08-A83D-112119CF957A}" type="parTrans" cxnId="{3C0478EF-DC1D-465B-9FA4-AE6C9350F4ED}">
      <dgm:prSet/>
      <dgm:spPr/>
      <dgm:t>
        <a:bodyPr/>
        <a:lstStyle/>
        <a:p>
          <a:endParaRPr lang="en-IN"/>
        </a:p>
      </dgm:t>
    </dgm:pt>
    <dgm:pt modelId="{11968516-D7EB-4E89-BFDF-267D93CAFF29}" type="sibTrans" cxnId="{3C0478EF-DC1D-465B-9FA4-AE6C9350F4ED}">
      <dgm:prSet/>
      <dgm:spPr/>
      <dgm:t>
        <a:bodyPr/>
        <a:lstStyle/>
        <a:p>
          <a:endParaRPr lang="en-IN"/>
        </a:p>
      </dgm:t>
    </dgm:pt>
    <dgm:pt modelId="{48E63EEC-1B1A-4FA8-82C4-B31F243A7122}">
      <dgm:prSet phldrT="[Text]"/>
      <dgm:spPr/>
      <dgm:t>
        <a:bodyPr/>
        <a:lstStyle/>
        <a:p>
          <a:r>
            <a:rPr lang="en-IN"/>
            <a:t>regular</a:t>
          </a:r>
        </a:p>
      </dgm:t>
    </dgm:pt>
    <dgm:pt modelId="{0EAB4A34-100D-4A73-971D-3DA01D074D7C}" type="parTrans" cxnId="{C735CFC3-F9AA-4E2E-A212-21EB7E9BC133}">
      <dgm:prSet/>
      <dgm:spPr/>
      <dgm:t>
        <a:bodyPr/>
        <a:lstStyle/>
        <a:p>
          <a:endParaRPr lang="en-IN"/>
        </a:p>
      </dgm:t>
    </dgm:pt>
    <dgm:pt modelId="{E48CD679-960B-4CCC-83FE-E6F30D71EBF5}" type="sibTrans" cxnId="{C735CFC3-F9AA-4E2E-A212-21EB7E9BC133}">
      <dgm:prSet/>
      <dgm:spPr/>
      <dgm:t>
        <a:bodyPr/>
        <a:lstStyle/>
        <a:p>
          <a:endParaRPr lang="en-IN"/>
        </a:p>
      </dgm:t>
    </dgm:pt>
    <dgm:pt modelId="{5741C47E-B6D4-4578-BDCE-96039283A300}">
      <dgm:prSet phldrT="[Text]"/>
      <dgm:spPr/>
      <dgm:t>
        <a:bodyPr/>
        <a:lstStyle/>
        <a:p>
          <a:r>
            <a:rPr lang="en-IN"/>
            <a:t>chart</a:t>
          </a:r>
        </a:p>
      </dgm:t>
    </dgm:pt>
    <dgm:pt modelId="{852E4859-E702-48EC-84E7-407AA1ED99FE}" type="parTrans" cxnId="{D92E4E40-B7AB-4963-8D23-02EED19741A8}">
      <dgm:prSet/>
      <dgm:spPr/>
      <dgm:t>
        <a:bodyPr/>
        <a:lstStyle/>
        <a:p>
          <a:endParaRPr lang="en-IN"/>
        </a:p>
      </dgm:t>
    </dgm:pt>
    <dgm:pt modelId="{C557B02D-2727-4B45-B043-F2D7A0024FC4}" type="sibTrans" cxnId="{D92E4E40-B7AB-4963-8D23-02EED19741A8}">
      <dgm:prSet/>
      <dgm:spPr/>
      <dgm:t>
        <a:bodyPr/>
        <a:lstStyle/>
        <a:p>
          <a:endParaRPr lang="en-IN"/>
        </a:p>
      </dgm:t>
    </dgm:pt>
    <dgm:pt modelId="{2E1F8E8A-498D-441D-884A-27DCA0C2F58E}" type="pres">
      <dgm:prSet presAssocID="{7D2F2E00-61A2-405A-B366-D77802F81637}" presName="Name0" presStyleCnt="0">
        <dgm:presLayoutVars>
          <dgm:chMax/>
          <dgm:chPref/>
          <dgm:dir/>
          <dgm:animLvl val="lvl"/>
        </dgm:presLayoutVars>
      </dgm:prSet>
      <dgm:spPr/>
    </dgm:pt>
    <dgm:pt modelId="{DCE8EB45-D497-4698-8C6C-6242A6161273}" type="pres">
      <dgm:prSet presAssocID="{1B029F8F-4D91-41D7-813E-9F0481CAFE73}" presName="composite" presStyleCnt="0"/>
      <dgm:spPr/>
    </dgm:pt>
    <dgm:pt modelId="{F8D11E4E-B4AD-4C4D-A1E3-C43F63EA02AE}" type="pres">
      <dgm:prSet presAssocID="{1B029F8F-4D91-41D7-813E-9F0481CAFE73}" presName="Parent1" presStyleLbl="node1" presStyleIdx="0" presStyleCnt="6">
        <dgm:presLayoutVars>
          <dgm:chMax val="1"/>
          <dgm:chPref val="1"/>
          <dgm:bulletEnabled val="1"/>
        </dgm:presLayoutVars>
      </dgm:prSet>
      <dgm:spPr/>
    </dgm:pt>
    <dgm:pt modelId="{540580C7-D6A3-4998-B7BD-8C62D1D0F2E4}" type="pres">
      <dgm:prSet presAssocID="{1B029F8F-4D91-41D7-813E-9F0481CAFE73}" presName="Childtext1" presStyleLbl="revTx" presStyleIdx="0" presStyleCnt="3">
        <dgm:presLayoutVars>
          <dgm:chMax val="0"/>
          <dgm:chPref val="0"/>
          <dgm:bulletEnabled val="1"/>
        </dgm:presLayoutVars>
      </dgm:prSet>
      <dgm:spPr/>
    </dgm:pt>
    <dgm:pt modelId="{AC97E4D4-EE8B-44B0-83DC-F378F2ABDFBF}" type="pres">
      <dgm:prSet presAssocID="{1B029F8F-4D91-41D7-813E-9F0481CAFE73}" presName="BalanceSpacing" presStyleCnt="0"/>
      <dgm:spPr/>
    </dgm:pt>
    <dgm:pt modelId="{3028BE67-740D-4400-B787-B8F74B5C1BD3}" type="pres">
      <dgm:prSet presAssocID="{1B029F8F-4D91-41D7-813E-9F0481CAFE73}" presName="BalanceSpacing1" presStyleCnt="0"/>
      <dgm:spPr/>
    </dgm:pt>
    <dgm:pt modelId="{FCDB22DC-52A6-443B-A2CA-DFD59E935115}" type="pres">
      <dgm:prSet presAssocID="{61A8304C-3160-4D16-9509-6CDB6F0981E8}" presName="Accent1Text" presStyleLbl="node1" presStyleIdx="1" presStyleCnt="6"/>
      <dgm:spPr/>
    </dgm:pt>
    <dgm:pt modelId="{29B9E2A4-7706-4D95-A295-69870860466C}" type="pres">
      <dgm:prSet presAssocID="{61A8304C-3160-4D16-9509-6CDB6F0981E8}" presName="spaceBetweenRectangles" presStyleCnt="0"/>
      <dgm:spPr/>
    </dgm:pt>
    <dgm:pt modelId="{8A537922-921B-4C0D-8CD6-2717478758F7}" type="pres">
      <dgm:prSet presAssocID="{B1316D4D-8B7C-42D6-B230-40C7B057BF09}" presName="composite" presStyleCnt="0"/>
      <dgm:spPr/>
    </dgm:pt>
    <dgm:pt modelId="{29B21EA4-F5C5-479B-9E68-7B04CCDB7017}" type="pres">
      <dgm:prSet presAssocID="{B1316D4D-8B7C-42D6-B230-40C7B057BF09}" presName="Parent1" presStyleLbl="node1" presStyleIdx="2" presStyleCnt="6">
        <dgm:presLayoutVars>
          <dgm:chMax val="1"/>
          <dgm:chPref val="1"/>
          <dgm:bulletEnabled val="1"/>
        </dgm:presLayoutVars>
      </dgm:prSet>
      <dgm:spPr/>
    </dgm:pt>
    <dgm:pt modelId="{FB463527-5DB9-4475-BCB7-E0275AD436D0}" type="pres">
      <dgm:prSet presAssocID="{B1316D4D-8B7C-42D6-B230-40C7B057BF09}" presName="Childtext1" presStyleLbl="revTx" presStyleIdx="1" presStyleCnt="3">
        <dgm:presLayoutVars>
          <dgm:chMax val="0"/>
          <dgm:chPref val="0"/>
          <dgm:bulletEnabled val="1"/>
        </dgm:presLayoutVars>
      </dgm:prSet>
      <dgm:spPr/>
    </dgm:pt>
    <dgm:pt modelId="{966790FD-F8FD-4FBF-833D-74ABE69892AF}" type="pres">
      <dgm:prSet presAssocID="{B1316D4D-8B7C-42D6-B230-40C7B057BF09}" presName="BalanceSpacing" presStyleCnt="0"/>
      <dgm:spPr/>
    </dgm:pt>
    <dgm:pt modelId="{1207F6D1-96C8-43C0-8FC0-A061AD8028FB}" type="pres">
      <dgm:prSet presAssocID="{B1316D4D-8B7C-42D6-B230-40C7B057BF09}" presName="BalanceSpacing1" presStyleCnt="0"/>
      <dgm:spPr/>
    </dgm:pt>
    <dgm:pt modelId="{1057B0C5-4935-4876-BB9F-4343789FAFD8}" type="pres">
      <dgm:prSet presAssocID="{262FB95A-4B5C-499C-88AE-EBAD19BAD2E3}" presName="Accent1Text" presStyleLbl="node1" presStyleIdx="3" presStyleCnt="6"/>
      <dgm:spPr/>
    </dgm:pt>
    <dgm:pt modelId="{639B41C8-3DB8-4569-AA2F-13A298D40FA8}" type="pres">
      <dgm:prSet presAssocID="{262FB95A-4B5C-499C-88AE-EBAD19BAD2E3}" presName="spaceBetweenRectangles" presStyleCnt="0"/>
      <dgm:spPr/>
    </dgm:pt>
    <dgm:pt modelId="{4D697F8B-57FF-4912-92E2-1BB299083D67}" type="pres">
      <dgm:prSet presAssocID="{48E63EEC-1B1A-4FA8-82C4-B31F243A7122}" presName="composite" presStyleCnt="0"/>
      <dgm:spPr/>
    </dgm:pt>
    <dgm:pt modelId="{5823F00E-1136-4818-955C-A64070FD071F}" type="pres">
      <dgm:prSet presAssocID="{48E63EEC-1B1A-4FA8-82C4-B31F243A7122}" presName="Parent1" presStyleLbl="node1" presStyleIdx="4" presStyleCnt="6">
        <dgm:presLayoutVars>
          <dgm:chMax val="1"/>
          <dgm:chPref val="1"/>
          <dgm:bulletEnabled val="1"/>
        </dgm:presLayoutVars>
      </dgm:prSet>
      <dgm:spPr/>
    </dgm:pt>
    <dgm:pt modelId="{DD6C1214-7BBC-42E5-B709-6E921CF94E81}" type="pres">
      <dgm:prSet presAssocID="{48E63EEC-1B1A-4FA8-82C4-B31F243A7122}" presName="Childtext1" presStyleLbl="revTx" presStyleIdx="2" presStyleCnt="3">
        <dgm:presLayoutVars>
          <dgm:chMax val="0"/>
          <dgm:chPref val="0"/>
          <dgm:bulletEnabled val="1"/>
        </dgm:presLayoutVars>
      </dgm:prSet>
      <dgm:spPr/>
    </dgm:pt>
    <dgm:pt modelId="{E1A78D7C-DDEF-4038-832F-7451E034B480}" type="pres">
      <dgm:prSet presAssocID="{48E63EEC-1B1A-4FA8-82C4-B31F243A7122}" presName="BalanceSpacing" presStyleCnt="0"/>
      <dgm:spPr/>
    </dgm:pt>
    <dgm:pt modelId="{D563B225-DE70-4470-AD57-E9C80970796E}" type="pres">
      <dgm:prSet presAssocID="{48E63EEC-1B1A-4FA8-82C4-B31F243A7122}" presName="BalanceSpacing1" presStyleCnt="0"/>
      <dgm:spPr/>
    </dgm:pt>
    <dgm:pt modelId="{68E491D8-373A-472F-9DF4-5F390DBFDF87}" type="pres">
      <dgm:prSet presAssocID="{E48CD679-960B-4CCC-83FE-E6F30D71EBF5}" presName="Accent1Text" presStyleLbl="node1" presStyleIdx="5" presStyleCnt="6"/>
      <dgm:spPr/>
    </dgm:pt>
  </dgm:ptLst>
  <dgm:cxnLst>
    <dgm:cxn modelId="{9AA6C50F-7D6A-4AED-B874-D1335252A999}" type="presOf" srcId="{5741C47E-B6D4-4578-BDCE-96039283A300}" destId="{DD6C1214-7BBC-42E5-B709-6E921CF94E81}" srcOrd="0" destOrd="0" presId="urn:microsoft.com/office/officeart/2008/layout/AlternatingHexagons"/>
    <dgm:cxn modelId="{6D906731-E20B-4B61-8EC4-4046E01624E5}" type="presOf" srcId="{C5BF7D15-59AF-45CB-9B7B-60533AABBC2C}" destId="{FB463527-5DB9-4475-BCB7-E0275AD436D0}" srcOrd="0" destOrd="0" presId="urn:microsoft.com/office/officeart/2008/layout/AlternatingHexagons"/>
    <dgm:cxn modelId="{D92E4E40-B7AB-4963-8D23-02EED19741A8}" srcId="{48E63EEC-1B1A-4FA8-82C4-B31F243A7122}" destId="{5741C47E-B6D4-4578-BDCE-96039283A300}" srcOrd="0" destOrd="0" parTransId="{852E4859-E702-48EC-84E7-407AA1ED99FE}" sibTransId="{C557B02D-2727-4B45-B043-F2D7A0024FC4}"/>
    <dgm:cxn modelId="{14E21A66-4D7F-427A-A9F5-F5C59608C06D}" type="presOf" srcId="{EE0C7A87-CD76-42C5-AB1D-FE5E593D74BD}" destId="{540580C7-D6A3-4998-B7BD-8C62D1D0F2E4}" srcOrd="0" destOrd="0" presId="urn:microsoft.com/office/officeart/2008/layout/AlternatingHexagons"/>
    <dgm:cxn modelId="{0C5D7C47-2F3A-409F-A15C-F09E60DE37A9}" srcId="{7D2F2E00-61A2-405A-B366-D77802F81637}" destId="{1B029F8F-4D91-41D7-813E-9F0481CAFE73}" srcOrd="0" destOrd="0" parTransId="{58519E36-9789-4C53-8510-1F1B84DE68BD}" sibTransId="{61A8304C-3160-4D16-9509-6CDB6F0981E8}"/>
    <dgm:cxn modelId="{30D8C87F-0A28-4674-B847-646C89E9A416}" type="presOf" srcId="{262FB95A-4B5C-499C-88AE-EBAD19BAD2E3}" destId="{1057B0C5-4935-4876-BB9F-4343789FAFD8}" srcOrd="0" destOrd="0" presId="urn:microsoft.com/office/officeart/2008/layout/AlternatingHexagons"/>
    <dgm:cxn modelId="{C5A1C482-363E-4705-BE71-2F36AC8A6AE7}" type="presOf" srcId="{1B029F8F-4D91-41D7-813E-9F0481CAFE73}" destId="{F8D11E4E-B4AD-4C4D-A1E3-C43F63EA02AE}" srcOrd="0" destOrd="0" presId="urn:microsoft.com/office/officeart/2008/layout/AlternatingHexagons"/>
    <dgm:cxn modelId="{1D81E583-D0AC-4685-B230-CCA0A02A8B97}" type="presOf" srcId="{E48CD679-960B-4CCC-83FE-E6F30D71EBF5}" destId="{68E491D8-373A-472F-9DF4-5F390DBFDF87}" srcOrd="0" destOrd="0" presId="urn:microsoft.com/office/officeart/2008/layout/AlternatingHexagons"/>
    <dgm:cxn modelId="{35F1F183-5770-4EC1-B61F-380CF1C2775C}" srcId="{1B029F8F-4D91-41D7-813E-9F0481CAFE73}" destId="{EE0C7A87-CD76-42C5-AB1D-FE5E593D74BD}" srcOrd="0" destOrd="0" parTransId="{BD7140E8-649F-43D2-AAA9-F495C457761A}" sibTransId="{87A52E3F-46D4-45CC-85C7-9458C0EBD5B7}"/>
    <dgm:cxn modelId="{4A0B5593-1502-4575-A9FB-C6B428F2730C}" type="presOf" srcId="{61A8304C-3160-4D16-9509-6CDB6F0981E8}" destId="{FCDB22DC-52A6-443B-A2CA-DFD59E935115}" srcOrd="0" destOrd="0" presId="urn:microsoft.com/office/officeart/2008/layout/AlternatingHexagons"/>
    <dgm:cxn modelId="{C735CFC3-F9AA-4E2E-A212-21EB7E9BC133}" srcId="{7D2F2E00-61A2-405A-B366-D77802F81637}" destId="{48E63EEC-1B1A-4FA8-82C4-B31F243A7122}" srcOrd="2" destOrd="0" parTransId="{0EAB4A34-100D-4A73-971D-3DA01D074D7C}" sibTransId="{E48CD679-960B-4CCC-83FE-E6F30D71EBF5}"/>
    <dgm:cxn modelId="{1AE642E4-EEB3-48F1-A4AA-8C1789706DC7}" type="presOf" srcId="{48E63EEC-1B1A-4FA8-82C4-B31F243A7122}" destId="{5823F00E-1136-4818-955C-A64070FD071F}" srcOrd="0" destOrd="0" presId="urn:microsoft.com/office/officeart/2008/layout/AlternatingHexagons"/>
    <dgm:cxn modelId="{8815EFEC-EC9F-4EC5-ACA1-AEF1C72F828A}" type="presOf" srcId="{7D2F2E00-61A2-405A-B366-D77802F81637}" destId="{2E1F8E8A-498D-441D-884A-27DCA0C2F58E}" srcOrd="0" destOrd="0" presId="urn:microsoft.com/office/officeart/2008/layout/AlternatingHexagons"/>
    <dgm:cxn modelId="{3C0478EF-DC1D-465B-9FA4-AE6C9350F4ED}" srcId="{B1316D4D-8B7C-42D6-B230-40C7B057BF09}" destId="{C5BF7D15-59AF-45CB-9B7B-60533AABBC2C}" srcOrd="0" destOrd="0" parTransId="{742BA6B4-122C-4E08-A83D-112119CF957A}" sibTransId="{11968516-D7EB-4E89-BFDF-267D93CAFF29}"/>
    <dgm:cxn modelId="{DA68FBF7-60D0-4C5F-81D3-B592004250A4}" type="presOf" srcId="{B1316D4D-8B7C-42D6-B230-40C7B057BF09}" destId="{29B21EA4-F5C5-479B-9E68-7B04CCDB7017}" srcOrd="0" destOrd="0" presId="urn:microsoft.com/office/officeart/2008/layout/AlternatingHexagons"/>
    <dgm:cxn modelId="{DFAD53FE-D035-4BE9-87A4-CCB63194BB2E}" srcId="{7D2F2E00-61A2-405A-B366-D77802F81637}" destId="{B1316D4D-8B7C-42D6-B230-40C7B057BF09}" srcOrd="1" destOrd="0" parTransId="{71075D95-CA89-4DBB-9C51-7A050C1FD3EC}" sibTransId="{262FB95A-4B5C-499C-88AE-EBAD19BAD2E3}"/>
    <dgm:cxn modelId="{D69D9BCB-D460-420A-A061-B689CE3746E2}" type="presParOf" srcId="{2E1F8E8A-498D-441D-884A-27DCA0C2F58E}" destId="{DCE8EB45-D497-4698-8C6C-6242A6161273}" srcOrd="0" destOrd="0" presId="urn:microsoft.com/office/officeart/2008/layout/AlternatingHexagons"/>
    <dgm:cxn modelId="{2D96184C-3198-401D-9361-E14CEB3F5743}" type="presParOf" srcId="{DCE8EB45-D497-4698-8C6C-6242A6161273}" destId="{F8D11E4E-B4AD-4C4D-A1E3-C43F63EA02AE}" srcOrd="0" destOrd="0" presId="urn:microsoft.com/office/officeart/2008/layout/AlternatingHexagons"/>
    <dgm:cxn modelId="{1288C046-0AB9-46DB-9394-94D19208D59C}" type="presParOf" srcId="{DCE8EB45-D497-4698-8C6C-6242A6161273}" destId="{540580C7-D6A3-4998-B7BD-8C62D1D0F2E4}" srcOrd="1" destOrd="0" presId="urn:microsoft.com/office/officeart/2008/layout/AlternatingHexagons"/>
    <dgm:cxn modelId="{F151FE8C-D422-4576-AF89-B3CEF1336E14}" type="presParOf" srcId="{DCE8EB45-D497-4698-8C6C-6242A6161273}" destId="{AC97E4D4-EE8B-44B0-83DC-F378F2ABDFBF}" srcOrd="2" destOrd="0" presId="urn:microsoft.com/office/officeart/2008/layout/AlternatingHexagons"/>
    <dgm:cxn modelId="{24F49D77-C001-4E64-946E-B98EB292567B}" type="presParOf" srcId="{DCE8EB45-D497-4698-8C6C-6242A6161273}" destId="{3028BE67-740D-4400-B787-B8F74B5C1BD3}" srcOrd="3" destOrd="0" presId="urn:microsoft.com/office/officeart/2008/layout/AlternatingHexagons"/>
    <dgm:cxn modelId="{5311387E-B9EC-422F-93F0-CFF3E77BA4B7}" type="presParOf" srcId="{DCE8EB45-D497-4698-8C6C-6242A6161273}" destId="{FCDB22DC-52A6-443B-A2CA-DFD59E935115}" srcOrd="4" destOrd="0" presId="urn:microsoft.com/office/officeart/2008/layout/AlternatingHexagons"/>
    <dgm:cxn modelId="{F65892A8-1B49-431A-990C-7C50ECE3AA9D}" type="presParOf" srcId="{2E1F8E8A-498D-441D-884A-27DCA0C2F58E}" destId="{29B9E2A4-7706-4D95-A295-69870860466C}" srcOrd="1" destOrd="0" presId="urn:microsoft.com/office/officeart/2008/layout/AlternatingHexagons"/>
    <dgm:cxn modelId="{E23B5820-E5F9-40E9-856E-0D177C369232}" type="presParOf" srcId="{2E1F8E8A-498D-441D-884A-27DCA0C2F58E}" destId="{8A537922-921B-4C0D-8CD6-2717478758F7}" srcOrd="2" destOrd="0" presId="urn:microsoft.com/office/officeart/2008/layout/AlternatingHexagons"/>
    <dgm:cxn modelId="{0CAE8E2C-AEAC-465D-AC1B-399DA00E1D24}" type="presParOf" srcId="{8A537922-921B-4C0D-8CD6-2717478758F7}" destId="{29B21EA4-F5C5-479B-9E68-7B04CCDB7017}" srcOrd="0" destOrd="0" presId="urn:microsoft.com/office/officeart/2008/layout/AlternatingHexagons"/>
    <dgm:cxn modelId="{2689DD4A-43F4-450B-A8DB-D9F84E8BAF19}" type="presParOf" srcId="{8A537922-921B-4C0D-8CD6-2717478758F7}" destId="{FB463527-5DB9-4475-BCB7-E0275AD436D0}" srcOrd="1" destOrd="0" presId="urn:microsoft.com/office/officeart/2008/layout/AlternatingHexagons"/>
    <dgm:cxn modelId="{F637BD9B-9E3A-44FC-A710-1FA7FE09C197}" type="presParOf" srcId="{8A537922-921B-4C0D-8CD6-2717478758F7}" destId="{966790FD-F8FD-4FBF-833D-74ABE69892AF}" srcOrd="2" destOrd="0" presId="urn:microsoft.com/office/officeart/2008/layout/AlternatingHexagons"/>
    <dgm:cxn modelId="{50FA2627-31CB-41E4-A553-631F43012E0B}" type="presParOf" srcId="{8A537922-921B-4C0D-8CD6-2717478758F7}" destId="{1207F6D1-96C8-43C0-8FC0-A061AD8028FB}" srcOrd="3" destOrd="0" presId="urn:microsoft.com/office/officeart/2008/layout/AlternatingHexagons"/>
    <dgm:cxn modelId="{F76974A1-4DE4-4658-81DA-C5897CA83E66}" type="presParOf" srcId="{8A537922-921B-4C0D-8CD6-2717478758F7}" destId="{1057B0C5-4935-4876-BB9F-4343789FAFD8}" srcOrd="4" destOrd="0" presId="urn:microsoft.com/office/officeart/2008/layout/AlternatingHexagons"/>
    <dgm:cxn modelId="{87F342EF-24D3-429E-8211-C11A65A99C7B}" type="presParOf" srcId="{2E1F8E8A-498D-441D-884A-27DCA0C2F58E}" destId="{639B41C8-3DB8-4569-AA2F-13A298D40FA8}" srcOrd="3" destOrd="0" presId="urn:microsoft.com/office/officeart/2008/layout/AlternatingHexagons"/>
    <dgm:cxn modelId="{E32C277C-8773-473A-82F8-40C0E201FF62}" type="presParOf" srcId="{2E1F8E8A-498D-441D-884A-27DCA0C2F58E}" destId="{4D697F8B-57FF-4912-92E2-1BB299083D67}" srcOrd="4" destOrd="0" presId="urn:microsoft.com/office/officeart/2008/layout/AlternatingHexagons"/>
    <dgm:cxn modelId="{0C312668-D899-42A8-B670-10E0ECA2722F}" type="presParOf" srcId="{4D697F8B-57FF-4912-92E2-1BB299083D67}" destId="{5823F00E-1136-4818-955C-A64070FD071F}" srcOrd="0" destOrd="0" presId="urn:microsoft.com/office/officeart/2008/layout/AlternatingHexagons"/>
    <dgm:cxn modelId="{94DFF589-3161-4940-9FB0-9A007E753874}" type="presParOf" srcId="{4D697F8B-57FF-4912-92E2-1BB299083D67}" destId="{DD6C1214-7BBC-42E5-B709-6E921CF94E81}" srcOrd="1" destOrd="0" presId="urn:microsoft.com/office/officeart/2008/layout/AlternatingHexagons"/>
    <dgm:cxn modelId="{9B4EEA2F-CD26-4535-90EA-8E65634E4FBD}" type="presParOf" srcId="{4D697F8B-57FF-4912-92E2-1BB299083D67}" destId="{E1A78D7C-DDEF-4038-832F-7451E034B480}" srcOrd="2" destOrd="0" presId="urn:microsoft.com/office/officeart/2008/layout/AlternatingHexagons"/>
    <dgm:cxn modelId="{216419E6-00F7-4856-B435-F9272D7FC97A}" type="presParOf" srcId="{4D697F8B-57FF-4912-92E2-1BB299083D67}" destId="{D563B225-DE70-4470-AD57-E9C80970796E}" srcOrd="3" destOrd="0" presId="urn:microsoft.com/office/officeart/2008/layout/AlternatingHexagons"/>
    <dgm:cxn modelId="{52BD3BEF-4E8E-4617-ABCD-E9F7E1E21F72}" type="presParOf" srcId="{4D697F8B-57FF-4912-92E2-1BB299083D67}" destId="{68E491D8-373A-472F-9DF4-5F390DBFDF87}" srcOrd="4" destOrd="0" presId="urn:microsoft.com/office/officeart/2008/layout/AlternatingHexagons"/>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D11E4E-B4AD-4C4D-A1E3-C43F63EA02AE}">
      <dsp:nvSpPr>
        <dsp:cNvPr id="0" name=""/>
        <dsp:cNvSpPr/>
      </dsp:nvSpPr>
      <dsp:spPr>
        <a:xfrm rot="5400000">
          <a:off x="1535127" y="82635"/>
          <a:ext cx="1008227" cy="877157"/>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MAS</a:t>
          </a:r>
        </a:p>
      </dsp:txBody>
      <dsp:txXfrm rot="-5400000">
        <a:off x="1737352" y="174215"/>
        <a:ext cx="603777" cy="693997"/>
      </dsp:txXfrm>
    </dsp:sp>
    <dsp:sp modelId="{540580C7-D6A3-4998-B7BD-8C62D1D0F2E4}">
      <dsp:nvSpPr>
        <dsp:cNvPr id="0" name=""/>
        <dsp:cNvSpPr/>
      </dsp:nvSpPr>
      <dsp:spPr>
        <a:xfrm>
          <a:off x="2504437" y="218745"/>
          <a:ext cx="1125181" cy="6049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kern="1200"/>
            <a:t>chart</a:t>
          </a:r>
        </a:p>
      </dsp:txBody>
      <dsp:txXfrm>
        <a:off x="2504437" y="218745"/>
        <a:ext cx="1125181" cy="604936"/>
      </dsp:txXfrm>
    </dsp:sp>
    <dsp:sp modelId="{FCDB22DC-52A6-443B-A2CA-DFD59E935115}">
      <dsp:nvSpPr>
        <dsp:cNvPr id="0" name=""/>
        <dsp:cNvSpPr/>
      </dsp:nvSpPr>
      <dsp:spPr>
        <a:xfrm rot="5400000">
          <a:off x="587796" y="82635"/>
          <a:ext cx="1008227" cy="877157"/>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IN" sz="3600" kern="1200"/>
        </a:p>
      </dsp:txBody>
      <dsp:txXfrm rot="-5400000">
        <a:off x="790021" y="174215"/>
        <a:ext cx="603777" cy="693997"/>
      </dsp:txXfrm>
    </dsp:sp>
    <dsp:sp modelId="{29B21EA4-F5C5-479B-9E68-7B04CCDB7017}">
      <dsp:nvSpPr>
        <dsp:cNvPr id="0" name=""/>
        <dsp:cNvSpPr/>
      </dsp:nvSpPr>
      <dsp:spPr>
        <a:xfrm rot="5400000">
          <a:off x="1059647" y="938418"/>
          <a:ext cx="1008227" cy="877157"/>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chart</a:t>
          </a:r>
        </a:p>
      </dsp:txBody>
      <dsp:txXfrm rot="-5400000">
        <a:off x="1261872" y="1029998"/>
        <a:ext cx="603777" cy="693997"/>
      </dsp:txXfrm>
    </dsp:sp>
    <dsp:sp modelId="{FB463527-5DB9-4475-BCB7-E0275AD436D0}">
      <dsp:nvSpPr>
        <dsp:cNvPr id="0" name=""/>
        <dsp:cNvSpPr/>
      </dsp:nvSpPr>
      <dsp:spPr>
        <a:xfrm>
          <a:off x="0" y="1074529"/>
          <a:ext cx="1088885" cy="6049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r" defTabSz="577850">
            <a:lnSpc>
              <a:spcPct val="90000"/>
            </a:lnSpc>
            <a:spcBef>
              <a:spcPct val="0"/>
            </a:spcBef>
            <a:spcAft>
              <a:spcPct val="35000"/>
            </a:spcAft>
            <a:buNone/>
          </a:pPr>
          <a:r>
            <a:rPr lang="en-IN" sz="1300" kern="1200"/>
            <a:t>regular</a:t>
          </a:r>
        </a:p>
      </dsp:txBody>
      <dsp:txXfrm>
        <a:off x="0" y="1074529"/>
        <a:ext cx="1088885" cy="604936"/>
      </dsp:txXfrm>
    </dsp:sp>
    <dsp:sp modelId="{1057B0C5-4935-4876-BB9F-4343789FAFD8}">
      <dsp:nvSpPr>
        <dsp:cNvPr id="0" name=""/>
        <dsp:cNvSpPr/>
      </dsp:nvSpPr>
      <dsp:spPr>
        <a:xfrm rot="5400000">
          <a:off x="2006977" y="938418"/>
          <a:ext cx="1008227" cy="877157"/>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IN" sz="3600" kern="1200"/>
        </a:p>
      </dsp:txBody>
      <dsp:txXfrm rot="-5400000">
        <a:off x="2209202" y="1029998"/>
        <a:ext cx="603777" cy="693997"/>
      </dsp:txXfrm>
    </dsp:sp>
    <dsp:sp modelId="{5823F00E-1136-4818-955C-A64070FD071F}">
      <dsp:nvSpPr>
        <dsp:cNvPr id="0" name=""/>
        <dsp:cNvSpPr/>
      </dsp:nvSpPr>
      <dsp:spPr>
        <a:xfrm rot="5400000">
          <a:off x="1535127" y="1794202"/>
          <a:ext cx="1008227" cy="877157"/>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regular</a:t>
          </a:r>
        </a:p>
      </dsp:txBody>
      <dsp:txXfrm rot="-5400000">
        <a:off x="1737352" y="1885782"/>
        <a:ext cx="603777" cy="693997"/>
      </dsp:txXfrm>
    </dsp:sp>
    <dsp:sp modelId="{DD6C1214-7BBC-42E5-B709-6E921CF94E81}">
      <dsp:nvSpPr>
        <dsp:cNvPr id="0" name=""/>
        <dsp:cNvSpPr/>
      </dsp:nvSpPr>
      <dsp:spPr>
        <a:xfrm>
          <a:off x="2504437" y="1930312"/>
          <a:ext cx="1125181" cy="6049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kern="1200"/>
            <a:t>chart</a:t>
          </a:r>
        </a:p>
      </dsp:txBody>
      <dsp:txXfrm>
        <a:off x="2504437" y="1930312"/>
        <a:ext cx="1125181" cy="604936"/>
      </dsp:txXfrm>
    </dsp:sp>
    <dsp:sp modelId="{68E491D8-373A-472F-9DF4-5F390DBFDF87}">
      <dsp:nvSpPr>
        <dsp:cNvPr id="0" name=""/>
        <dsp:cNvSpPr/>
      </dsp:nvSpPr>
      <dsp:spPr>
        <a:xfrm rot="5400000">
          <a:off x="587796" y="1794202"/>
          <a:ext cx="1008227" cy="877157"/>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IN" sz="3600" kern="1200"/>
        </a:p>
      </dsp:txBody>
      <dsp:txXfrm rot="-5400000">
        <a:off x="790021" y="1885782"/>
        <a:ext cx="603777" cy="693997"/>
      </dsp:txXfrm>
    </dsp:sp>
  </dsp:spTree>
</dsp:drawing>
</file>

<file path=word/diagrams/layout6.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4</Pages>
  <Words>1083</Words>
  <Characters>5344</Characters>
  <CharactersWithSpaces>6407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2022-05-19T10:15:00Z</dcterms:created>
  <dc:creator>SK Singh</dc:creator>
  <dc:description/>
  <dc:language>en-IN</dc:language>
  <cp:lastModifiedBy/>
  <dcterms:modified xsi:type="dcterms:W3CDTF">2022-05-24T11:24:33Z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