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0D47A1"/>
          <w:sz w:val="64"/>
          <w:szCs w:val="64"/>
        </w:rPr>
        <w:t xml:space="preserve">FinAnalytica</w:t>
      </w:r>
    </w:p>
    <w:p>
      <w:pPr>
        <w:spacing w:after="80"/>
        <w:jc w:val="center"/>
      </w:pPr>
      <w:r>
        <w:rPr>
          <w:rFonts w:ascii="Arial" w:cs="Arial" w:eastAsia="Arial" w:hAnsi="Arial"/>
          <w:color w:val="1565C0"/>
          <w:sz w:val="36"/>
          <w:szCs w:val="36"/>
        </w:rPr>
        <w:t xml:space="preserve">Financial Statement Analysis &amp; Valuation Tool</w:t>
      </w:r>
    </w:p>
    <w:p>
      <w:pPr>
        <w:spacing w:after="80"/>
        <w:jc w:val="center"/>
      </w:pPr>
      <w:r>
        <w:rPr>
          <w:i/>
          <w:iCs/>
          <w:color w:val="555555"/>
          <w:sz w:val="28"/>
          <w:szCs w:val="28"/>
        </w:rPr>
        <w:t xml:space="preserve">Technical Design Document</w:t>
      </w:r>
    </w:p>
    <w:p>
      <w:pPr>
        <w:spacing w:after="480"/>
        <w:jc w:val="center"/>
      </w:pPr>
      <w:r>
        <w:rPr>
          <w:color w:val="888888"/>
          <w:sz w:val="22"/>
          <w:szCs w:val="22"/>
        </w:rPr>
        <w:t xml:space="preserve">Version 1.0  |  March 2026</w:t>
      </w:r>
    </w:p>
    <w:p>
      <w:pPr>
        <w:pBdr>
          <w:bottom w:val="single" w:color="0D47A1" w:sz="4"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Authors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Engineering Team — FinAnalytica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Reviewers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Lead Architect, Finance SME, QA Lead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Draft — Pending Architecture Review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Last Updated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March 6, 2026</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Related Docs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PRD v1.0, API Schema v1.0, Test Plan v1.0</w:t>
            </w:r>
          </w:p>
        </w:tc>
      </w:tr>
    </w:tbl>
    <w:p>
      <w:pPr>
        <w:spacing w:after="80"/>
      </w:pPr>
      <w:r>
        <w:t xml:space="preserve"/>
      </w:r>
    </w:p>
    <w:p>
      <w:pPr>
        <w:spacing w:after="80"/>
      </w:pPr>
      <w:r>
        <w:t xml:space="preserve"/>
      </w:r>
    </w:p>
    <w:p>
      <w:pPr>
        <w:pStyle w:val="Heading1"/>
      </w:pPr>
      <w:r>
        <w:t xml:space="preserve">1. Document Purpose &amp; Scope</w:t>
      </w:r>
    </w:p>
    <w:p>
      <w:pPr>
        <w:spacing w:after="120"/>
      </w:pPr>
      <w:r>
        <w:t xml:space="preserve">This Technical Design Document (TDD) specifies the internal architecture, module design, data models, algorithm implementations, and integration patterns for FinAnalytica v1.0. It is intended for engineers building, reviewing, and maintaining the system.</w:t>
      </w:r>
    </w:p>
    <w:p>
      <w:pPr>
        <w:spacing w:after="120"/>
      </w:pPr>
      <w:r>
        <w:t xml:space="preserve">The document covers all components from data ingestion through valuation computation to report generation, including the Reliance Industries Limited (RIL) reference implementation that serves as the primary validation case study.</w:t>
      </w:r>
    </w:p>
    <w:p>
      <w:pPr>
        <w:spacing w:after="80"/>
      </w:pPr>
      <w:r>
        <w:t xml:space="preserve"/>
      </w:r>
    </w:p>
    <w:p>
      <w:pPr>
        <w:pStyle w:val="Heading1"/>
      </w:pPr>
      <w:r>
        <w:t xml:space="preserve">2. System Architecture</w:t>
      </w:r>
    </w:p>
    <w:p>
      <w:pPr>
        <w:pStyle w:val="Heading2"/>
      </w:pPr>
      <w:r>
        <w:t xml:space="preserve">2.1 High-Level Architecture</w:t>
      </w:r>
    </w:p>
    <w:p>
      <w:pPr>
        <w:spacing w:after="120"/>
      </w:pPr>
      <w:r>
        <w:t xml:space="preserve">FinAnalytica follows a layered pipeline architecture with clear separation between data acquisition, domain logic, and presentation. The system is designed to be run both as a CLI tool and as an importable Python library.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sz w:val="18"/>
                <w:szCs w:val="18"/>
              </w:rPr>
              <w:t xml:space="preserve">Pattern</w:t>
            </w:r>
          </w:p>
        </w:tc>
        <w:tc>
          <w:tcPr>
            <w:tcW w:type="dxa" w:w="7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sz w:val="20"/>
                <w:szCs w:val="20"/>
              </w:rPr>
              <w:t xml:space="preserve">Layered Pipeline Architecture — Data flows unidirectionally from ingestion → computation → presentation, with no circular dependencies between layers.</w:t>
            </w:r>
          </w:p>
        </w:tc>
      </w:tr>
    </w:tbl>
    <w:p>
      <w:pPr>
        <w:spacing w:after="80"/>
      </w:pPr>
      <w:r>
        <w:t xml:space="preserve"/>
      </w:r>
    </w:p>
    <w:p>
      <w:pPr>
        <w:spacing w:after="80"/>
      </w:pPr>
      <w:r>
        <w:t xml:space="preserve"/>
      </w:r>
    </w:p>
    <w:p>
      <w:pPr>
        <w:spacing w:after="120"/>
      </w:pPr>
      <w:r>
        <w:t xml:space="preserve">The five architectural layers are:</w:t>
      </w:r>
    </w:p>
    <w:p>
      <w:pPr>
        <w:pStyle w:val="ListParagraph"/>
        <w:numPr>
          <w:ilvl w:val="0"/>
          <w:numId w:val="2"/>
        </w:numPr>
        <w:spacing w:after="80"/>
      </w:pPr>
      <w:r>
        <w:rPr>
          <w:b w:val="false"/>
          <w:bCs w:val="false"/>
        </w:rPr>
        <w:t xml:space="preserve">Layer 1 — Data Sources: External APIs (yfinance, Alpha Vantage), CSV/Excel files, and local SQLite cache.</w:t>
      </w:r>
    </w:p>
    <w:p>
      <w:pPr>
        <w:pStyle w:val="ListParagraph"/>
        <w:numPr>
          <w:ilvl w:val="0"/>
          <w:numId w:val="2"/>
        </w:numPr>
        <w:spacing w:after="80"/>
      </w:pPr>
      <w:r>
        <w:rPr>
          <w:b w:val="false"/>
          <w:bCs w:val="false"/>
        </w:rPr>
        <w:t xml:space="preserve">Layer 2 — Ingestion &amp; Normalization: Fetchers, parsers, validators (Pydantic), and cache manager.</w:t>
      </w:r>
    </w:p>
    <w:p>
      <w:pPr>
        <w:pStyle w:val="ListParagraph"/>
        <w:numPr>
          <w:ilvl w:val="0"/>
          <w:numId w:val="2"/>
        </w:numPr>
        <w:spacing w:after="80"/>
      </w:pPr>
      <w:r>
        <w:rPr>
          <w:b w:val="false"/>
          <w:bCs w:val="false"/>
        </w:rPr>
        <w:t xml:space="preserve">Layer 3 — Domain Engine: Financial ratio engine, DCF valuation engine, and DuPont decomposition.</w:t>
      </w:r>
    </w:p>
    <w:p>
      <w:pPr>
        <w:pStyle w:val="ListParagraph"/>
        <w:numPr>
          <w:ilvl w:val="0"/>
          <w:numId w:val="2"/>
        </w:numPr>
        <w:spacing w:after="80"/>
      </w:pPr>
      <w:r>
        <w:rPr>
          <w:b w:val="false"/>
          <w:bCs w:val="false"/>
        </w:rPr>
        <w:t xml:space="preserve">Layer 4 — Reporting: Plotly chart builder, HTML/PDF renderer, Excel exporter, JSON serializer.</w:t>
      </w:r>
    </w:p>
    <w:p>
      <w:pPr>
        <w:pStyle w:val="ListParagraph"/>
        <w:numPr>
          <w:ilvl w:val="0"/>
          <w:numId w:val="2"/>
        </w:numPr>
        <w:spacing w:after="80"/>
      </w:pPr>
      <w:r>
        <w:rPr>
          <w:b w:val="false"/>
          <w:bCs w:val="false"/>
        </w:rPr>
        <w:t xml:space="preserve">Layer 5 — Interface: Click CLI, Rich terminal output, Streamlit dashboard (optional).</w:t>
      </w:r>
    </w:p>
    <w:p>
      <w:pPr>
        <w:spacing w:after="80"/>
      </w:pPr>
      <w:r>
        <w:t xml:space="preserve"/>
      </w:r>
    </w:p>
    <w:p>
      <w:pPr>
        <w:pStyle w:val="Heading2"/>
      </w:pPr>
      <w:r>
        <w:t xml:space="preserve">2.2 Directory Structure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finanalytica/</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cli/                    # Click CLI entry points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__init__.py</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commands.py         # analyze, template, export commands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ingestion/              # Layer 2: Data acquisition</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fetchers/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 base.py         # DataProvider abstract base class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 yfinance_fetcher.py</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 csv_fetcher.py</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normalizer.py       # Column alias mapping &amp; normalization</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validator.py        # Pydantic model validation</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cache.py            # SQLite-backed response cache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models/                 # Pydantic data models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financial_statements.py</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analysis_result.py</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ratios/                 # Layer 3a: Ratio engine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profitability.py</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leverage.py</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liquidity.py</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efficiency.py</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growth.py</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dupont.py</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valuation/              # Layer 3b: DCF engine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dcf.py              # Core FCF projection &amp; discounting</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wacc.py             # WACC computation</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terminal_value.py   # Gordon Growth &amp; Exit Multiple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sensitivity.py      # Sensitivity table generator</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reporting/              # Layer 4: Report generation</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charts.py           # Plotly figure builders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html_report.py      # Jinja2 HTML template renderer</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pdf_export.py       # WeasyPrint HTML-to-PDF</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excel_export.py     # openpyxl DCF workbook builder</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config/                 # Configuration files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defaults.yaml       # Default WACC assumptions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thresholds.yaml     # Ratio flag thresholds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tests/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unit/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integration/</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fixtures/           # RIL test data (10-year CSV)</w:t>
      </w:r>
    </w:p>
    <w:p>
      <w:pPr>
        <w:spacing w:after="80"/>
      </w:pPr>
      <w:r>
        <w:t xml:space="preserve"/>
      </w:r>
    </w:p>
    <w:p>
      <w:pPr>
        <w:spacing w:after="80"/>
      </w:pPr>
      <w:r>
        <w:t xml:space="preserve"/>
      </w:r>
    </w:p>
    <w:p>
      <w:pPr>
        <w:pStyle w:val="Heading2"/>
      </w:pPr>
      <w:r>
        <w:t xml:space="preserve">2.3 Data Flow Diagram</w:t>
      </w:r>
    </w:p>
    <w:p>
      <w:pPr>
        <w:spacing w:after="120"/>
      </w:pPr>
      <w:r>
        <w:t xml:space="preserve">The following describes the complete data flow for a `finanalytica analyze --ticker RELIANCE.NS` command:</w:t>
      </w:r>
    </w:p>
    <w:p>
      <w:pPr>
        <w:pStyle w:val="ListParagraph"/>
        <w:numPr>
          <w:ilvl w:val="0"/>
          <w:numId w:val="2"/>
        </w:numPr>
        <w:spacing w:after="80"/>
      </w:pPr>
      <w:r>
        <w:rPr>
          <w:b w:val="false"/>
          <w:bCs w:val="false"/>
        </w:rPr>
        <w:t xml:space="preserve">Step 1: CLI parses arguments → instantiates AnalysisOrchestrator with ticker='RELIANCE.NS'</w:t>
      </w:r>
    </w:p>
    <w:p>
      <w:pPr>
        <w:pStyle w:val="ListParagraph"/>
        <w:numPr>
          <w:ilvl w:val="0"/>
          <w:numId w:val="2"/>
        </w:numPr>
        <w:spacing w:after="80"/>
      </w:pPr>
      <w:r>
        <w:rPr>
          <w:b w:val="false"/>
          <w:bCs w:val="false"/>
        </w:rPr>
        <w:t xml:space="preserve">Step 2: CacheManager checks SQLite for cached data → cache miss triggers YFinanceFetcher</w:t>
      </w:r>
    </w:p>
    <w:p>
      <w:pPr>
        <w:pStyle w:val="ListParagraph"/>
        <w:numPr>
          <w:ilvl w:val="0"/>
          <w:numId w:val="2"/>
        </w:numPr>
        <w:spacing w:after="80"/>
      </w:pPr>
      <w:r>
        <w:rPr>
          <w:b w:val="false"/>
          <w:bCs w:val="false"/>
        </w:rPr>
        <w:t xml:space="preserve">Step 3: YFinanceFetcher calls yfinance.Ticker('RELIANCE.NS').financials → returns raw DataFrames</w:t>
      </w:r>
    </w:p>
    <w:p>
      <w:pPr>
        <w:pStyle w:val="ListParagraph"/>
        <w:numPr>
          <w:ilvl w:val="0"/>
          <w:numId w:val="2"/>
        </w:numPr>
        <w:spacing w:after="80"/>
      </w:pPr>
      <w:r>
        <w:rPr>
          <w:b w:val="false"/>
          <w:bCs w:val="false"/>
        </w:rPr>
        <w:t xml:space="preserve">Step 4: Normalizer applies column alias map → produces standardized field names</w:t>
      </w:r>
    </w:p>
    <w:p>
      <w:pPr>
        <w:pStyle w:val="ListParagraph"/>
        <w:numPr>
          <w:ilvl w:val="0"/>
          <w:numId w:val="2"/>
        </w:numPr>
        <w:spacing w:after="80"/>
      </w:pPr>
      <w:r>
        <w:rPr>
          <w:b w:val="false"/>
          <w:bCs w:val="false"/>
        </w:rPr>
        <w:t xml:space="preserve">Step 5: Pydantic FinancialStatements model validates and types all fields → raises on missing critical fields</w:t>
      </w:r>
    </w:p>
    <w:p>
      <w:pPr>
        <w:pStyle w:val="ListParagraph"/>
        <w:numPr>
          <w:ilvl w:val="0"/>
          <w:numId w:val="2"/>
        </w:numPr>
        <w:spacing w:after="80"/>
      </w:pPr>
      <w:r>
        <w:rPr>
          <w:b w:val="false"/>
          <w:bCs w:val="false"/>
        </w:rPr>
        <w:t xml:space="preserve">Step 6: RatioEngine.compute_all() iterates across 10 years → returns RatioResult dataclass</w:t>
      </w:r>
    </w:p>
    <w:p>
      <w:pPr>
        <w:pStyle w:val="ListParagraph"/>
        <w:numPr>
          <w:ilvl w:val="0"/>
          <w:numId w:val="2"/>
        </w:numPr>
        <w:spacing w:after="80"/>
      </w:pPr>
      <w:r>
        <w:rPr>
          <w:b w:val="false"/>
          <w:bCs w:val="false"/>
        </w:rPr>
        <w:t xml:space="preserve">Step 7: DCFEngine.run() reads YAML assumptions → projects FCFs → computes WACC → discounts → outputs IntrinsicValue</w:t>
      </w:r>
    </w:p>
    <w:p>
      <w:pPr>
        <w:pStyle w:val="ListParagraph"/>
        <w:numPr>
          <w:ilvl w:val="0"/>
          <w:numId w:val="2"/>
        </w:numPr>
        <w:spacing w:after="80"/>
      </w:pPr>
      <w:r>
        <w:rPr>
          <w:b w:val="false"/>
          <w:bCs w:val="false"/>
        </w:rPr>
        <w:t xml:space="preserve">Step 8: ReportBuilder assembles Plotly figures + HTML template → renders to HTML string</w:t>
      </w:r>
    </w:p>
    <w:p>
      <w:pPr>
        <w:pStyle w:val="ListParagraph"/>
        <w:numPr>
          <w:ilvl w:val="0"/>
          <w:numId w:val="2"/>
        </w:numPr>
        <w:spacing w:after="80"/>
      </w:pPr>
      <w:r>
        <w:rPr>
          <w:b w:val="false"/>
          <w:bCs w:val="false"/>
        </w:rPr>
        <w:t xml:space="preserve">Step 9: PDFExporter calls WeasyPrint → writes .pdf to output directory</w:t>
      </w:r>
    </w:p>
    <w:p>
      <w:pPr>
        <w:pStyle w:val="ListParagraph"/>
        <w:numPr>
          <w:ilvl w:val="0"/>
          <w:numId w:val="2"/>
        </w:numPr>
        <w:spacing w:after="80"/>
      </w:pPr>
      <w:r>
        <w:rPr>
          <w:b w:val="false"/>
          <w:bCs w:val="false"/>
        </w:rPr>
        <w:t xml:space="preserve">Step 10: CLI prints summary table via Rich → exits with code 0</w:t>
      </w:r>
    </w:p>
    <w:p>
      <w:pPr>
        <w:spacing w:after="80"/>
      </w:pPr>
      <w:r>
        <w:t xml:space="preserve"/>
      </w:r>
    </w:p>
    <w:p>
      <w:pPr>
        <w:pStyle w:val="Heading1"/>
      </w:pPr>
      <w:r>
        <w:t xml:space="preserve">3. Data Models</w:t>
      </w:r>
    </w:p>
    <w:p>
      <w:pPr>
        <w:pStyle w:val="Heading2"/>
      </w:pPr>
      <w:r>
        <w:t xml:space="preserve">3.1 Core Pydantic Models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models/financial_statements.py</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from pydantic import BaseModel, Field, field_validator</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from typing import Optional</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class IncomeStatement(BaseModel):</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year: int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revenue: float                    # Total Revenue / Net Sales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cost_of_goods_sold: float          # COGS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gross_profit: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operating_expenses: float          # SG&amp;A + R&amp;D</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ebit: float                        # Operating Income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interest_expense: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ebt: float                         # Earnings Before Tax</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tax_expense: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net_income: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depreciation_amortization: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shares_outstanding: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class BalanceSheet(BaseModel):</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year: int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cash_and_equivalents: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total_current_assets: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total_assets: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total_current_liabilities: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total_debt: float                  # Short + Long-term debt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total_liabilities: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shareholders_equity: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inventory: Optional[float] = None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accounts_receivable: Optional[float] = None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class CashFlowStatement(BaseModel):</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year: int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operating_cash_flow: float         # CFO</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capital_expenditure: float         # CapEx (typically negative)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free_cash_flow: float              # FCF = CFO + CapEx</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investing_cash_flow: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financing_cash_flow: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class FinancialStatements(BaseModel):</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ticker: str</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company_name: str</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currency: str = 'INR'</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years: list[int]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income_statements: list[IncomeStatement]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balance_sheets: list[BalanceSheet]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cash_flow_statements: list[CashFlowStatement]</w:t>
      </w:r>
    </w:p>
    <w:p>
      <w:pPr>
        <w:spacing w:after="80"/>
      </w:pPr>
      <w:r>
        <w:t xml:space="preserve"/>
      </w:r>
    </w:p>
    <w:p>
      <w:pPr>
        <w:spacing w:after="80"/>
      </w:pPr>
      <w:r>
        <w:t xml:space="preserve"/>
      </w:r>
    </w:p>
    <w:p>
      <w:pPr>
        <w:pStyle w:val="Heading2"/>
      </w:pPr>
      <w:r>
        <w:t xml:space="preserve">3.2 Analysis Result Model</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models/analysis_result.py</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@dataclass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class RatioResult: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year: int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gross_margin: float          # (Revenue - COGS) / Revenue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net_margin: float            # Net Income / Revenue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ebitda_margin: float         # EBITDA / Revenue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roe: float                   # Net Income / Shareholders Equity</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roa: float                   # Net Income / Total Assets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roce: float                  # EBIT / (Total Assets - Current Liabilities)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current_ratio: float         # Current Assets / Current Liabilities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quick_ratio: float           # (CA - Inventory) / CL</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debt_to_equity: float        # Total Debt / Equity</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interest_coverage: float     # EBIT / Interest Expense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asset_turnover: float        # Revenue / Total Assets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revenue_growth_yoy: float    # (Rev_t - Rev_{t-1}) / Rev_{t-1}</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fcf_yield: float             # FCF / Market Cap</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flag_status: dict            # {ratio_name: 'ok' | 'warning' | 'critical'}</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@dataclass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class IntrinsicValue: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wacc: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terminal_growth_rate: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projected_fcfs: list[float]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pv_fcfs: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terminal_value: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pv_terminal_value: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enterprise_value: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net_debt: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equity_value: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intrinsic_per_share: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margin_of_safety_15: float   # Fair value at 15% MOS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margin_of_safety_30: float   # Fair value at 30% MOS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sensitivity_matrix: dict     # {(wacc, g): intrinsic_value}</w:t>
      </w:r>
    </w:p>
    <w:p>
      <w:pPr>
        <w:spacing w:after="80"/>
      </w:pPr>
      <w:r>
        <w:t xml:space="preserve"/>
      </w:r>
    </w:p>
    <w:p>
      <w:pPr>
        <w:spacing w:after="80"/>
      </w:pPr>
      <w:r>
        <w:t xml:space="preserve"/>
      </w:r>
    </w:p>
    <w:p>
      <w:pPr>
        <w:pStyle w:val="Heading1"/>
      </w:pPr>
      <w:r>
        <w:t xml:space="preserve">4. Module Specifications</w:t>
      </w:r>
    </w:p>
    <w:p>
      <w:pPr>
        <w:pStyle w:val="Heading2"/>
      </w:pPr>
      <w:r>
        <w:t xml:space="preserve">4.1 DataProvider Abstract Base Class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ingestion/fetchers/base.py</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from abc import ABC, abstractmethod</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class DataProvider(ABC):</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"""Abstract base class for all financial data sources.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All fetchers MUST return FinancialStatements or raise DataFetchError."""</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@abstractmethod</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def fetch(self, ticker: str, years: int) -&gt; FinancialStatements: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pass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@abstractmethod</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def is_available(self) -&gt; bool:</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"""Check if data source is reachable."""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pass</w:t>
      </w:r>
    </w:p>
    <w:p>
      <w:pPr>
        <w:spacing w:after="80"/>
      </w:pPr>
      <w:r>
        <w:t xml:space="preserve"/>
      </w:r>
    </w:p>
    <w:p>
      <w:pPr>
        <w:spacing w:after="80"/>
      </w:pPr>
      <w:r>
        <w:t xml:space="preserve"/>
      </w:r>
    </w:p>
    <w:p>
      <w:pPr>
        <w:pStyle w:val="Heading2"/>
      </w:pPr>
      <w:r>
        <w:t xml:space="preserve">4.2 Ratio Engine — Key Implementations</w:t>
      </w:r>
    </w:p>
    <w:p>
      <w:pPr>
        <w:spacing w:after="120"/>
      </w:pPr>
      <w:r>
        <w:t xml:space="preserve">Each ratio function is a pure function that accepts typed inputs and returns a float. This design ensures testability and composability.</w:t>
      </w:r>
    </w:p>
    <w:p>
      <w:pPr>
        <w:spacing w:after="80"/>
      </w:pPr>
      <w: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ratios/profitability.py</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def gross_margin(revenue: float, cogs: float) -&gt;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"""Gross Margin = (Revenue - COGS) / Revenue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Source: CFA Institute Level 1, Financial Reporting &amp; Analysis"""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if revenue == 0: raise ValueError('Revenue cannot be zero')</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return (revenue - cogs) / revenue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def return_on_equity(net_income: float, avg_equity: float) -&gt;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"""ROE = Net Income / Average Shareholders Equity"""</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return net_income / avg_equity if avg_equity != 0 else float('nan')</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def roce(ebit: float, total_assets: float, current_liabilities: float) -&gt;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"""ROCE = EBIT / Capital Employed; CE = Total Assets - Current Liabilities"""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capital_employed = total_assets - current_liabilities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return ebit / capital_employed if capital_employed != 0 else float('nan')</w:t>
      </w:r>
    </w:p>
    <w:p>
      <w:pPr>
        <w:spacing w:after="80"/>
      </w:pPr>
      <w:r>
        <w:t xml:space="preserve"/>
      </w:r>
    </w:p>
    <w:p>
      <w:pPr>
        <w:spacing w:after="80"/>
      </w:pPr>
      <w: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ratios/dupont.py</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def dupont_3factor(net_margin: float, asset_turnover: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equity_multiplier: float) -&gt; dict: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"""3-Factor DuPont: ROE = Net Margin × Asset Turnover × Equity Multiplier"""</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roe = net_margin * asset_turnover * equity_multiplier</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return {</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'net_margin': net_margin,</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'asset_turnover': asset_turnover,</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'equity_multiplier': equity_multiplier,</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'roe': roe,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'decomposition': f'{net_margin:.2%} × {asset_turnover:.2f}x × {equity_multiplier:.2f}x = {roe:.2%}'</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t>
      </w:r>
    </w:p>
    <w:p>
      <w:pPr>
        <w:spacing w:after="80"/>
      </w:pPr>
      <w:r>
        <w:t xml:space="preserve"/>
      </w:r>
    </w:p>
    <w:p>
      <w:pPr>
        <w:spacing w:after="80"/>
      </w:pPr>
      <w:r>
        <w:t xml:space="preserve"/>
      </w:r>
    </w:p>
    <w:p>
      <w:pPr>
        <w:pStyle w:val="Heading2"/>
      </w:pPr>
      <w:r>
        <w:t xml:space="preserve">4.3 DCF Valuation Engine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valuation/dcf.py</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import numpy as np</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from typing import Literal</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class DCFEngine: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def __init__(self, assumptions: dict):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self.base_fcf = assumptions['base_fcf']</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self.phase1_growth = assumptions['phase1_growth']    # e.g. 0.15</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self.phase1_years = assumptions['phase1_years']      # e.g. 5</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self.phase2_growth = assumptions['phase2_growth']    # e.g. 0.08</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self.phase2_years = assumptions['phase2_years']      # e.g. 5</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self.terminal_growth = assumptions['terminal_growth'] # e.g. 0.04</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self.wacc = assumptions['wacc']</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def project_fcfs(self) -&gt; list[float]: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fcfs = []</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current = self.base_fcf</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for i in range(self.phase1_years):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current *= (1 + self.phase1_growth)</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fcfs.append(current)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for i in range(self.phase2_years):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current *= (1 + self.phase2_growth)</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fcfs.append(current)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return fcfs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def terminal_value_gordon(self, last_fcf: float) -&gt;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"""TV = FCF_n × (1+g) / (WACC - g)"""</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if self.wacc &lt;= self.terminal_growth:</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raise ValueError('WACC must exceed terminal growth rate')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return last_fcf * (1 + self.terminal_growth) / (self.wacc - self.terminal_growth)</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def run(self, net_debt: float, shares: float) -&gt; IntrinsicValue: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fcfs = self.project_fcfs()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discount_factors = [(1 + self.wacc) ** -(i+1) for i in range(len(fcfs))]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pv_fcfs = sum(f * d for f, d in zip(fcfs, discount_factors))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tv = self.terminal_value_gordon(fcfs[-1])</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pv_tv = tv * discount_factors[-1]</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ev = pv_fcfs + pv_tv</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equity_value = ev - net_debt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intrinsic = equity_value / shares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return IntrinsicValue(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wacc=self.wacc, terminal_growth_rate=self.terminal_growth,</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projected_fcfs=fcfs, pv_fcfs=pv_fcfs, terminal_value=tv,</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pv_terminal_value=pv_tv, enterprise_value=ev, net_debt=net_debt,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equity_value=equity_value, intrinsic_per_share=intrinsic,</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margin_of_safety_15=intrinsic * 0.85,</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margin_of_safety_30=intrinsic * 0.70,</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sensitivity_matrix=self._sensitivity_matrix(net_debt, shares)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t>
      </w:r>
    </w:p>
    <w:p>
      <w:pPr>
        <w:spacing w:after="80"/>
      </w:pPr>
      <w:r>
        <w:t xml:space="preserve"/>
      </w:r>
    </w:p>
    <w:p>
      <w:pPr>
        <w:spacing w:after="80"/>
      </w:pPr>
      <w:r>
        <w:t xml:space="preserve"/>
      </w:r>
    </w:p>
    <w:p>
      <w:pPr>
        <w:pStyle w:val="Heading2"/>
      </w:pPr>
      <w:r>
        <w:t xml:space="preserve">4.4 WACC Computation</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valuation/wacc.py</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def compute_wacc(</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market_cap: float,          # E — Equity market value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total_debt: float,          # D — Total debt at market value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cost_of_equity: float,      # Ke (from CAPM)</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cost_of_debt: float,        # Kd (pre-tax)</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tax_rate: float             # Effective corporate tax rate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-&gt;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"""WACC = (E/V × Ke) + (D/V × Kd × (1 - 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V = market_cap + total_debt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return (market_cap/V * cost_of_equity) + (total_debt/V * cost_of_debt * (1 - tax_rate))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def capm_cost_of_equity(</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risk_free_rate: float,      # Rf — 10Y Government bond yield</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beta: float,                # β — systematic risk vs market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equity_risk_premium: float  # ERP — Damodaran India ERP: ~7.0%</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-&gt;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"""Ke = Rf + β × (Rm - Rf)"""</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return risk_free_rate + beta * equity_risk_premium</w:t>
      </w:r>
    </w:p>
    <w:p>
      <w:pPr>
        <w:spacing w:after="80"/>
      </w:pPr>
      <w:r>
        <w:t xml:space="preserve"/>
      </w:r>
    </w:p>
    <w:p>
      <w:pPr>
        <w:spacing w:after="80"/>
      </w:pPr>
      <w:r>
        <w:t xml:space="preserve"/>
      </w:r>
    </w:p>
    <w:p>
      <w:pPr>
        <w:pStyle w:val="Heading2"/>
      </w:pPr>
      <w:r>
        <w:t xml:space="preserve">4.5 Sensitivity Table Generator</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valuation/sensitivity.py</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def generate_sensitivity_matrix(</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engine: DCFEngine,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net_debt: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shares: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wacc_range: list[float] = [0.08, 0.09, 0.10, 0.11, 0.12],</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growth_range: list[float] = [0.02, 0.03, 0.04, 0.05, 0.06]</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-&gt; dict[tuple, float]: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"""Returns {(wacc, terminal_growth): intrinsic_per_share} matrix."""</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matrix = {}</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for w in wacc_range: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for g in growth_range: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engine.wacc = w</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engine.terminal_growth = g</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result = engine.run(net_debt, shares)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matrix[(w, g)] = result.intrinsic_per_share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return matrix</w:t>
      </w:r>
    </w:p>
    <w:p>
      <w:pPr>
        <w:spacing w:after="80"/>
      </w:pPr>
      <w:r>
        <w:t xml:space="preserve"/>
      </w:r>
    </w:p>
    <w:p>
      <w:pPr>
        <w:spacing w:after="80"/>
      </w:pPr>
      <w:r>
        <w:t xml:space="preserve"/>
      </w:r>
    </w:p>
    <w:p>
      <w:pPr>
        <w:pStyle w:val="Heading1"/>
      </w:pPr>
      <w:r>
        <w:t xml:space="preserve">5. Python Library API Design</w:t>
      </w:r>
    </w:p>
    <w:p>
      <w:pPr>
        <w:pStyle w:val="Heading2"/>
      </w:pPr>
      <w:r>
        <w:t xml:space="preserve">5.1 Public Interface</w:t>
      </w:r>
    </w:p>
    <w:p>
      <w:pPr>
        <w:spacing w:after="120"/>
      </w:pPr>
      <w:r>
        <w:t xml:space="preserve">FinAnalytica exposes a clean high-level API for programmatic usage: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High-level API usage example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from finanalytica import FinAnalytica</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Initialize with ticker</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fa = FinAnalytica(ticker='RELIANCE.NS', years=10)</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Fetch and analyze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result = fa.analyze()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Access ratios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print(result.ratios[2024].roe)           # 0.1872 (18.72%)</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print(result.ratios[2024].dupont)        # DuPont decomposition dict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Access valuation</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print(result.valuation.intrinsic_per_share)  # e.g., 2847.50</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print(result.valuation.sensitivity_matrix)   # 5×5 dict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Export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fa.export_html('reliance_report.html')</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fa.export_pdf('reliance_report.pdf')</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fa.export_excel('reliance_dcf.xlsx')</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fa.export_json('reliance_data.json')</w:t>
      </w:r>
    </w:p>
    <w:p>
      <w:pPr>
        <w:spacing w:after="80"/>
      </w:pPr>
      <w:r>
        <w:t xml:space="preserve"/>
      </w:r>
    </w:p>
    <w:p>
      <w:pPr>
        <w:spacing w:after="80"/>
      </w:pPr>
      <w:r>
        <w:t xml:space="preserve"/>
      </w:r>
    </w:p>
    <w:p>
      <w:pPr>
        <w:pStyle w:val="Heading1"/>
      </w:pPr>
      <w:r>
        <w:t xml:space="preserve">6. CLI Design</w:t>
      </w:r>
    </w:p>
    <w:p>
      <w:pPr>
        <w:pStyle w:val="Heading2"/>
      </w:pPr>
      <w:r>
        <w:t xml:space="preserve">6.1 Command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rPr>
          <w:tblHeader/>
        </w:trPr>
        <w:tc>
          <w:tcPr>
            <w:tcW w:type="dxa" w:w="32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sz w:val="18"/>
                <w:szCs w:val="18"/>
              </w:rPr>
              <w:t xml:space="preserve">Command</w:t>
            </w:r>
          </w:p>
        </w:tc>
        <w:tc>
          <w:tcPr>
            <w:tcW w:type="dxa" w:w="35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sz w:val="18"/>
                <w:szCs w:val="18"/>
              </w:rPr>
              <w:t xml:space="preserve">Arguments</w:t>
            </w:r>
          </w:p>
        </w:tc>
        <w:tc>
          <w:tcPr>
            <w:tcW w:type="dxa" w:w="26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finanalytica analyze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--ticker RELIANCE.NS --years 10 --output ./reports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Full analysis with all ratios + DCF</w:t>
            </w:r>
          </w:p>
        </w:tc>
      </w:tr>
      <w:tr>
        <w:tc>
          <w:tcPr>
            <w:tcW w:type="dxa" w:w="3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finanalytica analyze</w:t>
            </w:r>
          </w:p>
        </w:tc>
        <w:tc>
          <w:tcPr>
            <w:tcW w:type="dxa" w:w="35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--file income.csv balance.csv cashflow.csv</w:t>
            </w:r>
          </w:p>
        </w:tc>
        <w:tc>
          <w:tcPr>
            <w:tcW w:type="dxa" w:w="2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Analysis from local CSV files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finanalytica ratios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--ticker RELIANCE.NS --only profitability leverage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Ratios-only analysis, skip DCF</w:t>
            </w:r>
          </w:p>
        </w:tc>
      </w:tr>
      <w:tr>
        <w:tc>
          <w:tcPr>
            <w:tcW w:type="dxa" w:w="3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finanalytica value</w:t>
            </w:r>
          </w:p>
        </w:tc>
        <w:tc>
          <w:tcPr>
            <w:tcW w:type="dxa" w:w="35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--ticker RELIANCE.NS --config dcf_custom.yaml</w:t>
            </w:r>
          </w:p>
        </w:tc>
        <w:tc>
          <w:tcPr>
            <w:tcW w:type="dxa" w:w="2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DCF valuation with custom assumptions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finanalytica template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--output ./templates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Download blank CSV input templates</w:t>
            </w:r>
          </w:p>
        </w:tc>
      </w:tr>
      <w:tr>
        <w:tc>
          <w:tcPr>
            <w:tcW w:type="dxa" w:w="3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finanalytica compare</w:t>
            </w:r>
          </w:p>
        </w:tc>
        <w:tc>
          <w:tcPr>
            <w:tcW w:type="dxa" w:w="35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--tickers RELIANCE.NS INFY.NS --metric roe margin</w:t>
            </w:r>
          </w:p>
        </w:tc>
        <w:tc>
          <w:tcPr>
            <w:tcW w:type="dxa" w:w="2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Side-by-side peer comparison</w:t>
            </w:r>
          </w:p>
        </w:tc>
      </w:tr>
    </w:tbl>
    <w:p>
      <w:pPr>
        <w:spacing w:after="80"/>
      </w:pPr>
      <w:r>
        <w:t xml:space="preserve"/>
      </w:r>
    </w:p>
    <w:p>
      <w:pPr>
        <w:spacing w:after="80"/>
      </w:pPr>
      <w:r>
        <w:t xml:space="preserve"/>
      </w:r>
    </w:p>
    <w:p>
      <w:pPr>
        <w:pStyle w:val="Heading2"/>
      </w:pPr>
      <w:r>
        <w:t xml:space="preserve">6.2 DCF Assumptions YAML</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config/defaults.yaml — Reliance Industries base assumptions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dcf:</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base_fcf_crore: 45000          # FY2024 FCF in Crores INR</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phase1_growth_rate: 0.14       # 14% growth years 1-5 (Jio + Retail expansion)</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phase1_years: 5</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phase2_growth_rate: 0.09       # 9% growth years 6-10 (maturation)</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phase2_years: 5</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terminal_growth_rate: 0.04     # 4% perpetuity growth (India nominal GDP growth)</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wacc:</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risk_free_rate: 0.072          # 10Y G-Sec yield</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beta: 1.05                     # RIL 5Y monthly beta vs Nifty 50</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equity_risk_premium: 0.070     # Damodaran India ERP 2024</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cost_of_debt_pretax: 0.078     # Weighted avg cost of debt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tax_rate: 0.25                 # Effective tax rate FY2024</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thresholds: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debt_to_equity_warning: 1.0</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debt_to_equity_critical: 2.0</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current_ratio_warning: 1.2</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interest_coverage_critical: 1.5</w:t>
      </w:r>
    </w:p>
    <w:p>
      <w:pPr>
        <w:spacing w:after="80"/>
      </w:pPr>
      <w:r>
        <w:t xml:space="preserve"/>
      </w:r>
    </w:p>
    <w:p>
      <w:pPr>
        <w:spacing w:after="80"/>
      </w:pPr>
      <w:r>
        <w:t xml:space="preserve"/>
      </w:r>
    </w:p>
    <w:p>
      <w:pPr>
        <w:pStyle w:val="Heading1"/>
      </w:pPr>
      <w:r>
        <w:t xml:space="preserve">7. Testing Strategy</w:t>
      </w:r>
    </w:p>
    <w:p>
      <w:pPr>
        <w:pStyle w:val="Heading2"/>
      </w:pPr>
      <w:r>
        <w:t xml:space="preserve">7.1 Test Pyramid</w:t>
      </w:r>
    </w:p>
    <w:p>
      <w:pPr>
        <w:pStyle w:val="ListParagraph"/>
        <w:numPr>
          <w:ilvl w:val="0"/>
          <w:numId w:val="2"/>
        </w:numPr>
        <w:spacing w:after="80"/>
      </w:pPr>
      <w:r>
        <w:rPr>
          <w:b/>
          <w:bCs/>
        </w:rPr>
        <w:t xml:space="preserve">Unit Tests (70%) — Pure function tests for every ratio formula. Input → expected output with known values. No external dependencies.</w:t>
      </w:r>
    </w:p>
    <w:p>
      <w:pPr>
        <w:pStyle w:val="ListParagraph"/>
        <w:numPr>
          <w:ilvl w:val="0"/>
          <w:numId w:val="2"/>
        </w:numPr>
        <w:spacing w:after="80"/>
      </w:pPr>
      <w:r>
        <w:rPr>
          <w:b/>
          <w:bCs/>
        </w:rPr>
        <w:t xml:space="preserve">Integration Tests (20%) — Full pipeline test using RIL fixture CSV data. Validates end-to-end ratio and DCF computation against pre-validated expected results.</w:t>
      </w:r>
    </w:p>
    <w:p>
      <w:pPr>
        <w:pStyle w:val="ListParagraph"/>
        <w:numPr>
          <w:ilvl w:val="0"/>
          <w:numId w:val="2"/>
        </w:numPr>
        <w:spacing w:after="80"/>
      </w:pPr>
      <w:r>
        <w:rPr>
          <w:b/>
          <w:bCs/>
        </w:rPr>
        <w:t xml:space="preserve">Snapshot Tests (10%) — HTML/PDF report output compared against approved snapshots. Fails if report structure changes unexpectedly.</w:t>
      </w:r>
    </w:p>
    <w:p>
      <w:pPr>
        <w:spacing w:after="80"/>
      </w:pPr>
      <w:r>
        <w:t xml:space="preserve"/>
      </w:r>
    </w:p>
    <w:p>
      <w:pPr>
        <w:pStyle w:val="Heading2"/>
      </w:pPr>
      <w:r>
        <w:t xml:space="preserve">7.2 Key Test Cases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2400"/>
        <w:gridCol w:w="900"/>
      </w:tblGrid>
      <w:tr>
        <w:trPr>
          <w:tblHeader/>
        </w:trPr>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sz w:val="18"/>
                <w:szCs w:val="18"/>
              </w:rPr>
              <w:t xml:space="preserve">Test ID</w:t>
            </w:r>
          </w:p>
        </w:tc>
        <w:tc>
          <w:tcPr>
            <w:tcW w:type="dxa" w:w="16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sz w:val="18"/>
                <w:szCs w:val="18"/>
              </w:rPr>
              <w:t xml:space="preserve">Module</w:t>
            </w:r>
          </w:p>
        </w:tc>
        <w:tc>
          <w:tcPr>
            <w:tcW w:type="dxa" w:w="22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sz w:val="18"/>
                <w:szCs w:val="18"/>
              </w:rPr>
              <w:t xml:space="preserve">Input</w:t>
            </w:r>
          </w:p>
        </w:tc>
        <w:tc>
          <w:tcPr>
            <w:tcW w:type="dxa" w:w="24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sz w:val="18"/>
                <w:szCs w:val="18"/>
              </w:rPr>
              <w:t xml:space="preserve">Expected Output</w:t>
            </w:r>
          </w:p>
        </w:tc>
        <w:tc>
          <w:tcPr>
            <w:tcW w:type="dxa" w:w="9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sz w:val="18"/>
                <w:szCs w:val="18"/>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gross_margin()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Revenue=100, COGS=60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0.40 (40%)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P0</w:t>
            </w:r>
          </w:p>
        </w:tc>
      </w:tr>
      <w:tr>
        <w:tc>
          <w:tcPr>
            <w:tcW w:type="dxa" w:w="9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T-02</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DCFEngine.run()</w:t>
            </w:r>
          </w:p>
        </w:tc>
        <w:tc>
          <w:tcPr>
            <w:tcW w:type="dxa" w:w="2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RIL FY2024 fixture data</w:t>
            </w:r>
          </w:p>
        </w:tc>
        <w:tc>
          <w:tcPr>
            <w:tcW w:type="dxa" w:w="24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Within 5% of manual Excel DCF</w:t>
            </w:r>
          </w:p>
        </w:tc>
        <w:tc>
          <w:tcPr>
            <w:tcW w:type="dxa" w:w="9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YFinanceFetcher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Mocked yfinance response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Valid FinancialStatements model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P0</w:t>
            </w:r>
          </w:p>
        </w:tc>
      </w:tr>
      <w:tr>
        <w:tc>
          <w:tcPr>
            <w:tcW w:type="dxa" w:w="9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T-04</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Normalizer</w:t>
            </w:r>
          </w:p>
        </w:tc>
        <w:tc>
          <w:tcPr>
            <w:tcW w:type="dxa" w:w="2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Column='Net Sales'</w:t>
            </w:r>
          </w:p>
        </w:tc>
        <w:tc>
          <w:tcPr>
            <w:tcW w:type="dxa" w:w="24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Maps to 'revenue'</w:t>
            </w:r>
          </w:p>
        </w:tc>
        <w:tc>
          <w:tcPr>
            <w:tcW w:type="dxa" w:w="9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sensitivity_matrix()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 WACC × 5 g values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25-element dict with float values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P1</w:t>
            </w:r>
          </w:p>
        </w:tc>
      </w:tr>
      <w:tr>
        <w:tc>
          <w:tcPr>
            <w:tcW w:type="dxa" w:w="9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T-06</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dupont_3factor()</w:t>
            </w:r>
          </w:p>
        </w:tc>
        <w:tc>
          <w:tcPr>
            <w:tcW w:type="dxa" w:w="2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nm=0.10, at=0.85, em=2.1</w:t>
            </w:r>
          </w:p>
        </w:tc>
        <w:tc>
          <w:tcPr>
            <w:tcW w:type="dxa" w:w="24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ROE=0.1785</w:t>
            </w:r>
          </w:p>
        </w:tc>
        <w:tc>
          <w:tcPr>
            <w:tcW w:type="dxa" w:w="9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capm_cost_of_equity()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Rf=0.072, β=1.05, ERP=0.07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0.1455 (14.55%)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P1</w:t>
            </w:r>
          </w:p>
        </w:tc>
      </w:tr>
      <w:tr>
        <w:tc>
          <w:tcPr>
            <w:tcW w:type="dxa" w:w="9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T-08</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threshold_flags()</w:t>
            </w:r>
          </w:p>
        </w:tc>
        <w:tc>
          <w:tcPr>
            <w:tcW w:type="dxa" w:w="2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D/E=2.5</w:t>
            </w:r>
          </w:p>
        </w:tc>
        <w:tc>
          <w:tcPr>
            <w:tcW w:type="dxa" w:w="24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flag_status['debt_to_equity']='critical'</w:t>
            </w:r>
          </w:p>
        </w:tc>
        <w:tc>
          <w:tcPr>
            <w:tcW w:type="dxa" w:w="9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P2</w:t>
            </w:r>
          </w:p>
        </w:tc>
      </w:tr>
    </w:tbl>
    <w:p>
      <w:pPr>
        <w:spacing w:after="80"/>
      </w:pPr>
      <w:r>
        <w:t xml:space="preserve"/>
      </w:r>
    </w:p>
    <w:p>
      <w:pPr>
        <w:spacing w:after="80"/>
      </w:pPr>
      <w:r>
        <w:t xml:space="preserve"/>
      </w:r>
    </w:p>
    <w:p>
      <w:pPr>
        <w:pStyle w:val="Heading2"/>
      </w:pPr>
      <w:r>
        <w:t xml:space="preserve">7.3 Test Fixtures — RIL Reference Data</w:t>
      </w:r>
    </w:p>
    <w:p>
      <w:pPr>
        <w:spacing w:after="120"/>
      </w:pPr>
      <w:r>
        <w:t xml:space="preserve">The test fixtures directory contains 10-year historical financials for Reliance Industries (FY2015–FY2024) extracted from annual reports and validated against BSE filings. The DCF expected output has been cross-validated against a manually built Excel model.</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tests/fixtures/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ril_income_statement.csv     # FY2015-FY2024 P&amp;L</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ril_balance_sheet.csv        # FY2015-FY2024 Balance Sheet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ril_cash_flow.csv            # FY2015-FY2024 Cash Flow</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ril_expected_ratios.json     # Pre-computed ratio ground truth</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ril_expected_dcf.json        # DCF intrinsic value ground truth</w:t>
      </w:r>
    </w:p>
    <w:p>
      <w:pPr>
        <w:spacing w:after="80"/>
      </w:pPr>
      <w:r>
        <w:t xml:space="preserve"/>
      </w:r>
    </w:p>
    <w:p>
      <w:pPr>
        <w:spacing w:after="80"/>
      </w:pPr>
      <w:r>
        <w:t xml:space="preserve"/>
      </w:r>
    </w:p>
    <w:p>
      <w:pPr>
        <w:pStyle w:val="Heading1"/>
      </w:pPr>
      <w:r>
        <w:t xml:space="preserve">8. Error Handling &amp; Observability</w:t>
      </w:r>
    </w:p>
    <w:p>
      <w:pPr>
        <w:pStyle w:val="Heading2"/>
      </w:pPr>
      <w:r>
        <w:t xml:space="preserve">8.1 Custom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560"/>
      </w:tblGrid>
      <w:tr>
        <w:trPr>
          <w:tblHeader/>
        </w:trPr>
        <w:tc>
          <w:tcPr>
            <w:tcW w:type="dxa" w:w="20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sz w:val="18"/>
                <w:szCs w:val="18"/>
              </w:rPr>
              <w:t xml:space="preserve">Exception</w:t>
            </w:r>
          </w:p>
        </w:tc>
        <w:tc>
          <w:tcPr>
            <w:tcW w:type="dxa" w:w="18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sz w:val="18"/>
                <w:szCs w:val="18"/>
              </w:rPr>
              <w:t xml:space="preserve">Module</w:t>
            </w:r>
          </w:p>
        </w:tc>
        <w:tc>
          <w:tcPr>
            <w:tcW w:type="dxa" w:w="30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sz w:val="18"/>
                <w:szCs w:val="18"/>
              </w:rPr>
              <w:t xml:space="preserve">Raised When</w:t>
            </w:r>
          </w:p>
        </w:tc>
        <w:tc>
          <w:tcPr>
            <w:tcW w:type="dxa" w:w="25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sz w:val="18"/>
                <w:szCs w:val="18"/>
              </w:rPr>
              <w:t xml:space="preserve">User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DataFetchError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ingestion/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yfinance API timeout or rate limit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Retry with --source csv flag</w:t>
            </w:r>
          </w:p>
        </w:tc>
      </w:tr>
      <w:tr>
        <w:tc>
          <w:tcPr>
            <w:tcW w:type="dxa" w:w="2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MissingFieldError</w:t>
            </w:r>
          </w:p>
        </w:tc>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ingestion/validator</w:t>
            </w:r>
          </w:p>
        </w:tc>
        <w:tc>
          <w:tcPr>
            <w:tcW w:type="dxa" w:w="3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Required column absent in input CSV</w:t>
            </w:r>
          </w:p>
        </w:tc>
        <w:tc>
          <w:tcPr>
            <w:tcW w:type="dxa" w:w="25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Check template; add missing field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InsufficientDataError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ratios/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Fewer than 2 years provided for growth calc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Provide at least 2 years of data</w:t>
            </w:r>
          </w:p>
        </w:tc>
      </w:tr>
      <w:tr>
        <w:tc>
          <w:tcPr>
            <w:tcW w:type="dxa" w:w="2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WACCError</w:t>
            </w:r>
          </w:p>
        </w:tc>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valuation/wacc</w:t>
            </w:r>
          </w:p>
        </w:tc>
        <w:tc>
          <w:tcPr>
            <w:tcW w:type="dxa" w:w="3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WACC &lt;= terminal growth rate (unstable DCF)</w:t>
            </w:r>
          </w:p>
        </w:tc>
        <w:tc>
          <w:tcPr>
            <w:tcW w:type="dxa" w:w="25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Increase WACC or reduce terminal 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NormalizationError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ingestion/normalizer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Column name not in alias registry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Add alias mapping to normalizer.py</w:t>
            </w:r>
          </w:p>
        </w:tc>
      </w:tr>
    </w:tbl>
    <w:p>
      <w:pPr>
        <w:spacing w:after="80"/>
      </w:pPr>
      <w:r>
        <w:t xml:space="preserve"/>
      </w:r>
    </w:p>
    <w:p>
      <w:pPr>
        <w:spacing w:after="80"/>
      </w:pPr>
      <w:r>
        <w:t xml:space="preserve"/>
      </w:r>
    </w:p>
    <w:p>
      <w:pPr>
        <w:pStyle w:val="Heading2"/>
      </w:pPr>
      <w:r>
        <w:t xml:space="preserve">8.2 Logging Strategy</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import logging</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finanalytica uses structured logging at 3 levels: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DEBUG  — Per-ratio computation details (disabled in production)</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INFO   — Module lifecycle events (fetch started, ratios computed)</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WARNING — Non-fatal data issues (missing optional field, cache miss)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ERROR  — Fatal analysis failures with full traceback</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logging.basicConfig(</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format='%(asctime)s | %(levelname)-8s | %(module)s | %(message)s',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datefmt='%Y-%m-%d %H:%M:%S'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w:t>
      </w:r>
    </w:p>
    <w:p>
      <w:pPr>
        <w:spacing w:after="80"/>
      </w:pPr>
      <w:r>
        <w:t xml:space="preserve"/>
      </w:r>
    </w:p>
    <w:p>
      <w:pPr>
        <w:spacing w:after="80"/>
      </w:pPr>
      <w:r>
        <w:t xml:space="preserve"/>
      </w:r>
    </w:p>
    <w:p>
      <w:pPr>
        <w:pStyle w:val="Heading1"/>
      </w:pPr>
      <w:r>
        <w:t xml:space="preserve">9. Performance Considerations</w:t>
      </w:r>
    </w:p>
    <w:p>
      <w:pPr>
        <w:pStyle w:val="ListParagraph"/>
        <w:numPr>
          <w:ilvl w:val="0"/>
          <w:numId w:val="2"/>
        </w:numPr>
        <w:spacing w:after="80"/>
      </w:pPr>
      <w:r>
        <w:rPr>
          <w:b w:val="false"/>
          <w:bCs w:val="false"/>
        </w:rPr>
        <w:t xml:space="preserve">Ratio computations are vectorized using NumPy array operations across all years simultaneously — avoids Python-level loops.</w:t>
      </w:r>
    </w:p>
    <w:p>
      <w:pPr>
        <w:pStyle w:val="ListParagraph"/>
        <w:numPr>
          <w:ilvl w:val="0"/>
          <w:numId w:val="2"/>
        </w:numPr>
        <w:spacing w:after="80"/>
      </w:pPr>
      <w:r>
        <w:rPr>
          <w:b w:val="false"/>
          <w:bCs w:val="false"/>
        </w:rPr>
        <w:t xml:space="preserve">yfinance API responses are cached in SQLite with a 24-hour TTL, eliminating redundant network calls on repeated analysis of the same company.</w:t>
      </w:r>
    </w:p>
    <w:p>
      <w:pPr>
        <w:pStyle w:val="ListParagraph"/>
        <w:numPr>
          <w:ilvl w:val="0"/>
          <w:numId w:val="2"/>
        </w:numPr>
        <w:spacing w:after="80"/>
      </w:pPr>
      <w:r>
        <w:rPr>
          <w:b w:val="false"/>
          <w:bCs w:val="false"/>
        </w:rPr>
        <w:t xml:space="preserve">Plotly figures are generated in parallel using Python's concurrent.futures.ThreadPoolExecutor (I/O-bound rendering).</w:t>
      </w:r>
    </w:p>
    <w:p>
      <w:pPr>
        <w:pStyle w:val="ListParagraph"/>
        <w:numPr>
          <w:ilvl w:val="0"/>
          <w:numId w:val="2"/>
        </w:numPr>
        <w:spacing w:after="80"/>
      </w:pPr>
      <w:r>
        <w:rPr>
          <w:b w:val="false"/>
          <w:bCs w:val="false"/>
        </w:rPr>
        <w:t xml:space="preserve">DCF sensitivity matrix uses NumPy meshgrid for efficient 5×5 scenario computation without nested Python loops.</w:t>
      </w:r>
    </w:p>
    <w:p>
      <w:pPr>
        <w:pStyle w:val="ListParagraph"/>
        <w:numPr>
          <w:ilvl w:val="0"/>
          <w:numId w:val="2"/>
        </w:numPr>
        <w:spacing w:after="80"/>
      </w:pPr>
      <w:r>
        <w:rPr>
          <w:b w:val="false"/>
          <w:bCs w:val="false"/>
        </w:rPr>
        <w:t xml:space="preserve">PDF export via WeasyPrint is the primary performance bottleneck; estimated at 8–12 seconds. A --no-pdf flag is provided for fast iteration.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rPr>
          <w:tblHeader/>
        </w:trPr>
        <w:tc>
          <w:tcPr>
            <w:tcW w:type="dxa" w:w="22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sz w:val="18"/>
                <w:szCs w:val="18"/>
              </w:rPr>
              <w:t xml:space="preserve">Operation</w:t>
            </w:r>
          </w:p>
        </w:tc>
        <w:tc>
          <w:tcPr>
            <w:tcW w:type="dxa" w:w="18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sz w:val="18"/>
                <w:szCs w:val="18"/>
              </w:rPr>
              <w:t xml:space="preserve">Method</w:t>
            </w:r>
          </w:p>
        </w:tc>
        <w:tc>
          <w:tcPr>
            <w:tcW w:type="dxa" w:w="16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sz w:val="18"/>
                <w:szCs w:val="18"/>
              </w:rPr>
              <w:t xml:space="preserve">Target Time</w:t>
            </w:r>
          </w:p>
        </w:tc>
        <w:tc>
          <w:tcPr>
            <w:tcW w:type="dxa" w:w="37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sz w:val="18"/>
                <w:szCs w:val="18"/>
              </w:rPr>
              <w:t xml:space="preserve">Optimization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API Fetch (cache miss)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yfinance HTTP call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&lt; 10 sec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SQLite cache; 24hr TTL</w:t>
            </w:r>
          </w:p>
        </w:tc>
      </w:tr>
      <w:tr>
        <w:tc>
          <w:tcPr>
            <w:tcW w:type="dxa" w:w="2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API Fetch (cache hit)</w:t>
            </w:r>
          </w:p>
        </w:tc>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SQLite read</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&lt; 0.5 sec</w:t>
            </w:r>
          </w:p>
        </w:tc>
        <w:tc>
          <w:tcPr>
            <w:tcW w:type="dxa" w:w="37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Index on (ticker, year)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Ratio Engine (10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NumPy vectorized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&lt; 1 sec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 Python loops</w:t>
            </w:r>
          </w:p>
        </w:tc>
      </w:tr>
      <w:tr>
        <w:tc>
          <w:tcPr>
            <w:tcW w:type="dxa" w:w="2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DCF + Sensitivity</w:t>
            </w:r>
          </w:p>
        </w:tc>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NumPy meshgrid</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&lt; 2 sec</w:t>
            </w:r>
          </w:p>
        </w:tc>
        <w:tc>
          <w:tcPr>
            <w:tcW w:type="dxa" w:w="37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Vectorized discount calc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Plotly Chart Build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Parallel threads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&lt; 5 sec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ThreadPoolExecutor</w:t>
            </w:r>
          </w:p>
        </w:tc>
      </w:tr>
      <w:tr>
        <w:tc>
          <w:tcPr>
            <w:tcW w:type="dxa" w:w="2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HTML Report Render</w:t>
            </w:r>
          </w:p>
        </w:tc>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Jinja2 template</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&lt; 3 sec</w:t>
            </w:r>
          </w:p>
        </w:tc>
        <w:tc>
          <w:tcPr>
            <w:tcW w:type="dxa" w:w="37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Template pre-compiled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PDF Export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WeasyPrint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&lt; 12 sec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Async option in v1.1</w:t>
            </w:r>
          </w:p>
        </w:tc>
      </w:tr>
    </w:tbl>
    <w:p>
      <w:pPr>
        <w:spacing w:after="80"/>
      </w:pPr>
      <w:r>
        <w:t xml:space="preserve"/>
      </w:r>
    </w:p>
    <w:p>
      <w:pPr>
        <w:spacing w:after="80"/>
      </w:pPr>
      <w:r>
        <w:t xml:space="preserve"/>
      </w:r>
    </w:p>
    <w:p>
      <w:pPr>
        <w:pStyle w:val="Heading1"/>
      </w:pPr>
      <w:r>
        <w:t xml:space="preserve">10. Security Considerations</w:t>
      </w:r>
    </w:p>
    <w:p>
      <w:pPr>
        <w:pStyle w:val="ListParagraph"/>
        <w:numPr>
          <w:ilvl w:val="0"/>
          <w:numId w:val="2"/>
        </w:numPr>
        <w:spacing w:after="80"/>
      </w:pPr>
      <w:r>
        <w:rPr>
          <w:b w:val="false"/>
          <w:bCs w:val="false"/>
        </w:rPr>
        <w:t xml:space="preserve">No credentials are stored in code — all API keys loaded from environment variables via python-dotenv.</w:t>
      </w:r>
    </w:p>
    <w:p>
      <w:pPr>
        <w:pStyle w:val="ListParagraph"/>
        <w:numPr>
          <w:ilvl w:val="0"/>
          <w:numId w:val="2"/>
        </w:numPr>
        <w:spacing w:after="80"/>
      </w:pPr>
      <w:r>
        <w:rPr>
          <w:b w:val="false"/>
          <w:bCs w:val="false"/>
        </w:rPr>
        <w:t xml:space="preserve">CSV input files are validated through Pydantic before any computation — prevents injection of malformed numeric strings.</w:t>
      </w:r>
    </w:p>
    <w:p>
      <w:pPr>
        <w:pStyle w:val="ListParagraph"/>
        <w:numPr>
          <w:ilvl w:val="0"/>
          <w:numId w:val="2"/>
        </w:numPr>
        <w:spacing w:after="80"/>
      </w:pPr>
      <w:r>
        <w:rPr>
          <w:b w:val="false"/>
          <w:bCs w:val="false"/>
        </w:rPr>
        <w:t xml:space="preserve">SQLite cache database is stored in OS user home directory with 600 permissions (read/write owner only).</w:t>
      </w:r>
    </w:p>
    <w:p>
      <w:pPr>
        <w:pStyle w:val="ListParagraph"/>
        <w:numPr>
          <w:ilvl w:val="0"/>
          <w:numId w:val="2"/>
        </w:numPr>
        <w:spacing w:after="80"/>
      </w:pPr>
      <w:r>
        <w:rPr>
          <w:b w:val="false"/>
          <w:bCs w:val="false"/>
        </w:rPr>
        <w:t xml:space="preserve">No user PII is collected or logged — ticker symbols and computed values only.</w:t>
      </w:r>
    </w:p>
    <w:p>
      <w:pPr>
        <w:pStyle w:val="ListParagraph"/>
        <w:numPr>
          <w:ilvl w:val="0"/>
          <w:numId w:val="2"/>
        </w:numPr>
        <w:spacing w:after="80"/>
      </w:pPr>
      <w:r>
        <w:rPr>
          <w:b w:val="false"/>
          <w:bCs w:val="false"/>
        </w:rPr>
        <w:t xml:space="preserve">yfinance library is pinned to a specific version in Poetry lockfile — prevents supply chain attacks via version drift.</w:t>
      </w:r>
    </w:p>
    <w:p>
      <w:pPr>
        <w:spacing w:after="80"/>
      </w:pPr>
      <w:r>
        <w:t xml:space="preserve"/>
      </w:r>
    </w:p>
    <w:p>
      <w:pPr>
        <w:pStyle w:val="Heading1"/>
      </w:pPr>
      <w:r>
        <w:t xml:space="preserve">11. Deployment &amp; Distribution</w:t>
      </w:r>
    </w:p>
    <w:p>
      <w:pPr>
        <w:pStyle w:val="Heading2"/>
      </w:pPr>
      <w:r>
        <w:t xml:space="preserve">11.1 PyPI Package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Install via pip</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pip install finanalytica</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Install from source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git clone https://github.com/finanalytica/finanalytica</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cd finanalytica &amp;&amp; poetry install</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Run analysis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finanalytica analyze --ticker RELIANCE.NS --output ./reports</w:t>
      </w:r>
    </w:p>
    <w:p>
      <w:pPr>
        <w:spacing w:after="80"/>
      </w:pPr>
      <w:r>
        <w:t xml:space="preserve"/>
      </w:r>
    </w:p>
    <w:p>
      <w:pPr>
        <w:pStyle w:val="Heading2"/>
      </w:pPr>
      <w:r>
        <w:t xml:space="preserve">11.2 Docker Container</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Dockerfile</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FROM python:3.11-slim</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WORKDIR /app</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COPY pyproject.toml poetry.lock ./</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RUN pip install poetry &amp;&amp; poetry install --no-dev</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COPY . .</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ENTRYPOINT ['finanalytica']</w:t>
      </w:r>
    </w:p>
    <w:p>
      <w:pPr>
        <w:spacing w:after="80"/>
      </w:pPr>
      <w:r>
        <w:t xml:space="preserve"/>
      </w:r>
    </w:p>
    <w:p>
      <w:pPr>
        <w:pStyle w:val="Heading2"/>
      </w:pPr>
      <w:r>
        <w:t xml:space="preserve">11.3 CI/CD Pipeline (GitHub Actions)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.github/workflows/ci.yml — runs on every push and PR</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jobs: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test: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runs-on: ubuntu-latest</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steps:</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uses: actions/checkout@v4</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uses: actions/setup-python@v5</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with: { python-version: '3.11' }</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run: pip install poetry &amp;&amp; poetry install</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run: poetry run pytest --cov=finanalytica --cov-report=xml</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run: poetry run mypy finanalytica/</w:t>
      </w:r>
    </w:p>
    <w:p>
      <w:pPr>
        <w:pBdr>
          <w:left w:val="single" w:color="4FC3F7" w:sz="8" w:space="4"/>
        </w:pBdr>
        <w:shd w:fill="1E1E2E" w:val="clear"/>
        <w:spacing w:after="40" w:before="40"/>
        <w:ind w:left="360"/>
      </w:pPr>
      <w:r>
        <w:rPr>
          <w:rFonts w:ascii="Courier New" w:cs="Courier New" w:eastAsia="Courier New" w:hAnsi="Courier New"/>
          <w:color w:val="A8D8A8"/>
          <w:sz w:val="18"/>
          <w:szCs w:val="18"/>
        </w:rPr>
        <w:t xml:space="preserve">      - run: poetry run ruff check .</w:t>
      </w:r>
    </w:p>
    <w:p>
      <w:pPr>
        <w:spacing w:after="80"/>
      </w:pPr>
      <w:r>
        <w:t xml:space="preserve"/>
      </w:r>
    </w:p>
    <w:p>
      <w:pPr>
        <w:spacing w:after="80"/>
      </w:pPr>
      <w:r>
        <w:t xml:space="preserve"/>
      </w:r>
    </w:p>
    <w:p>
      <w:pPr>
        <w:pStyle w:val="Heading1"/>
      </w:pPr>
      <w:r>
        <w:t xml:space="preserve">12. Open Questions &amp; Decisions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1800"/>
        <w:gridCol w:w="2160"/>
      </w:tblGrid>
      <w:tr>
        <w:trPr>
          <w:tblHeader/>
        </w:trPr>
        <w:tc>
          <w:tcPr>
            <w:tcW w:type="dxa" w:w="4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sz w:val="18"/>
                <w:szCs w:val="18"/>
              </w:rPr>
              <w:t xml:space="preserve">#</w:t>
            </w:r>
          </w:p>
        </w:tc>
        <w:tc>
          <w:tcPr>
            <w:tcW w:type="dxa" w:w="50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sz w:val="18"/>
                <w:szCs w:val="18"/>
              </w:rPr>
              <w:t xml:space="preserve">Question</w:t>
            </w:r>
          </w:p>
        </w:tc>
        <w:tc>
          <w:tcPr>
            <w:tcW w:type="dxa" w:w="18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sz w:val="18"/>
                <w:szCs w:val="18"/>
              </w:rPr>
              <w:t xml:space="preserve">Owner</w:t>
            </w:r>
          </w:p>
        </w:tc>
        <w:tc>
          <w:tcPr>
            <w:tcW w:type="dxa" w:w="21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sz w:val="18"/>
                <w:szCs w:val="18"/>
              </w:rPr>
              <w:t xml:space="preserve">Target Date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OQ-1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Should Screener.in CSV import be in v1.0 or v1.1? The format is popular with Indian retail investors.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PM + Dev Lead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Week 2</w:t>
            </w:r>
          </w:p>
        </w:tc>
      </w:tr>
      <w:tr>
        <w:tc>
          <w:tcPr>
            <w:tcW w:type="dxa" w:w="4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OQ-2</w:t>
            </w:r>
          </w:p>
        </w:tc>
        <w:tc>
          <w:tcPr>
            <w:tcW w:type="dxa" w:w="5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Which India ERP (Equity Risk Premium) source to use as default: Damodaran (7.0%) or RBI implied (6.5%)?</w:t>
            </w:r>
          </w:p>
        </w:tc>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Finance SME</w:t>
            </w:r>
          </w:p>
        </w:tc>
        <w:tc>
          <w:tcPr>
            <w:tcW w:type="dxa" w:w="21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Week 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OQ-3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Should the Streamlit dashboard be bundled in the pip package or kept as a separate optional install?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Dev Lead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Week 5</w:t>
            </w:r>
          </w:p>
        </w:tc>
      </w:tr>
      <w:tr>
        <w:tc>
          <w:tcPr>
            <w:tcW w:type="dxa" w:w="4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OQ-4</w:t>
            </w:r>
          </w:p>
        </w:tc>
        <w:tc>
          <w:tcPr>
            <w:tcW w:type="dxa" w:w="5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HDFC Bank (financial sector) has different ratio logic (no D/E in traditional sense). Should we have sector-specific ratio profiles?</w:t>
            </w:r>
          </w:p>
        </w:tc>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Finance SME</w:t>
            </w:r>
          </w:p>
        </w:tc>
        <w:tc>
          <w:tcPr>
            <w:tcW w:type="dxa" w:w="21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Week 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OQ-5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WeasyPrint requires system-level dependencies (libpango). Should we offer reportlab as an alternative for Windows 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Dev Lead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Week 8</w:t>
            </w:r>
          </w:p>
        </w:tc>
      </w:tr>
    </w:tbl>
    <w:p>
      <w:pPr>
        <w:spacing w:after="80"/>
      </w:pPr>
      <w:r>
        <w:t xml:space="preserve"/>
      </w:r>
    </w:p>
    <w:p>
      <w:pPr>
        <w:spacing w:after="80"/>
      </w:pPr>
      <w:r>
        <w:t xml:space="preserve"/>
      </w:r>
    </w:p>
    <w:p>
      <w:pPr>
        <w:pStyle w:val="Heading1"/>
      </w:pPr>
      <w:r>
        <w:t xml:space="preserve">13. Appendix</w:t>
      </w:r>
    </w:p>
    <w:p>
      <w:pPr>
        <w:pStyle w:val="Heading2"/>
      </w:pPr>
      <w:r>
        <w:t xml:space="preserve">13.1 External References</w:t>
      </w:r>
    </w:p>
    <w:p>
      <w:pPr>
        <w:pStyle w:val="ListParagraph"/>
        <w:numPr>
          <w:ilvl w:val="0"/>
          <w:numId w:val="2"/>
        </w:numPr>
        <w:spacing w:after="80"/>
      </w:pPr>
      <w:r>
        <w:rPr>
          <w:b w:val="false"/>
          <w:bCs w:val="false"/>
        </w:rPr>
        <w:t xml:space="preserve">Damodaran, A. (2024). Valuation: Measuring and Managing the Value of Companies. NYU Stern.</w:t>
      </w:r>
    </w:p>
    <w:p>
      <w:pPr>
        <w:pStyle w:val="ListParagraph"/>
        <w:numPr>
          <w:ilvl w:val="0"/>
          <w:numId w:val="2"/>
        </w:numPr>
        <w:spacing w:after="80"/>
      </w:pPr>
      <w:r>
        <w:rPr>
          <w:b w:val="false"/>
          <w:bCs w:val="false"/>
        </w:rPr>
        <w:t xml:space="preserve">CFA Institute. (2024). CFA Program Curriculum Level 1 — Financial Statement Analysis.</w:t>
      </w:r>
    </w:p>
    <w:p>
      <w:pPr>
        <w:pStyle w:val="ListParagraph"/>
        <w:numPr>
          <w:ilvl w:val="0"/>
          <w:numId w:val="2"/>
        </w:numPr>
        <w:spacing w:after="80"/>
      </w:pPr>
      <w:r>
        <w:rPr>
          <w:b w:val="false"/>
          <w:bCs w:val="false"/>
        </w:rPr>
        <w:t xml:space="preserve">yfinance Documentation: https://github.com/ranaroussi/yfinance</w:t>
      </w:r>
    </w:p>
    <w:p>
      <w:pPr>
        <w:pStyle w:val="ListParagraph"/>
        <w:numPr>
          <w:ilvl w:val="0"/>
          <w:numId w:val="2"/>
        </w:numPr>
        <w:spacing w:after="80"/>
      </w:pPr>
      <w:r>
        <w:rPr>
          <w:b w:val="false"/>
          <w:bCs w:val="false"/>
        </w:rPr>
        <w:t xml:space="preserve">Pydantic v2 Docs: https://docs.pydantic.dev/latest/</w:t>
      </w:r>
    </w:p>
    <w:p>
      <w:pPr>
        <w:pStyle w:val="ListParagraph"/>
        <w:numPr>
          <w:ilvl w:val="0"/>
          <w:numId w:val="2"/>
        </w:numPr>
        <w:spacing w:after="80"/>
      </w:pPr>
      <w:r>
        <w:rPr>
          <w:b w:val="false"/>
          <w:bCs w:val="false"/>
        </w:rPr>
        <w:t xml:space="preserve">Plotly Python Docs: https://plotly.com/python/</w:t>
      </w:r>
    </w:p>
    <w:p>
      <w:pPr>
        <w:pStyle w:val="ListParagraph"/>
        <w:numPr>
          <w:ilvl w:val="0"/>
          <w:numId w:val="2"/>
        </w:numPr>
        <w:spacing w:after="80"/>
      </w:pPr>
      <w:r>
        <w:rPr>
          <w:b w:val="false"/>
          <w:bCs w:val="false"/>
        </w:rPr>
        <w:t xml:space="preserve">WeasyPrint Docs: https://weasyprint.org/</w:t>
      </w:r>
    </w:p>
    <w:p>
      <w:pPr>
        <w:spacing w:after="80"/>
      </w:pPr>
      <w:r>
        <w:t xml:space="preserve"/>
      </w:r>
    </w:p>
    <w:p>
      <w:pPr>
        <w:pStyle w:val="Heading2"/>
      </w:pPr>
      <w:r>
        <w:t xml:space="preserve">13.2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sz w:val="18"/>
                <w:szCs w:val="18"/>
              </w:rPr>
              <w:t xml:space="preserve">Term</w:t>
            </w:r>
          </w:p>
        </w:tc>
        <w:tc>
          <w:tcPr>
            <w:tcW w:type="dxa" w:w="75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sz w:val="18"/>
                <w:szCs w:val="18"/>
              </w:rPr>
              <w:t xml:space="preserve">Definition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CAGR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Compound Annual Growth Rate — measures the mean annual growth rate over a period &gt; 1 year</w:t>
            </w:r>
          </w:p>
        </w:tc>
      </w:tr>
      <w:tr>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CapEx</w:t>
            </w:r>
          </w:p>
        </w:tc>
        <w:tc>
          <w:tcPr>
            <w:tcW w:type="dxa" w:w="75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Capital Expenditure — cash spent to acquire or maintain fixed assets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DCF</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Discounted Cash Flow — valuation method summing present values of projected future cash flows</w:t>
            </w:r>
          </w:p>
        </w:tc>
      </w:tr>
      <w:tr>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DuPont</w:t>
            </w:r>
          </w:p>
        </w:tc>
        <w:tc>
          <w:tcPr>
            <w:tcW w:type="dxa" w:w="75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ROE decomposition framework attributing returns to margin, turnover, and leverage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EBIT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Earnings Before Interest and Taxes — operating income metric</w:t>
            </w:r>
          </w:p>
        </w:tc>
      </w:tr>
      <w:tr>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EBITDA</w:t>
            </w:r>
          </w:p>
        </w:tc>
        <w:tc>
          <w:tcPr>
            <w:tcW w:type="dxa" w:w="75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EBIT + Depreciation &amp; Amortization — proxy for operating cash generation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ERP</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Equity Risk Premium — excess return expected from equities over risk-free rate</w:t>
            </w:r>
          </w:p>
        </w:tc>
      </w:tr>
      <w:tr>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FCF</w:t>
            </w:r>
          </w:p>
        </w:tc>
        <w:tc>
          <w:tcPr>
            <w:tcW w:type="dxa" w:w="75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Free Cash Flow — Operating Cash Flow minus Capital Expenditure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FCFF</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Free Cash Flow to Firm — unlevered FCF before debt payments</w:t>
            </w:r>
          </w:p>
        </w:tc>
      </w:tr>
      <w:tr>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MOS</w:t>
            </w:r>
          </w:p>
        </w:tc>
        <w:tc>
          <w:tcPr>
            <w:tcW w:type="dxa" w:w="75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Margin of Safety — discount to intrinsic value providing downside protection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ROCE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Return on Capital Employed — EBIT divided by Capital Employed</w:t>
            </w:r>
          </w:p>
        </w:tc>
      </w:tr>
      <w:tr>
        <w:tc>
          <w:tcPr>
            <w:tcW w:type="dxa" w:w="1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WACC</w:t>
            </w:r>
          </w:p>
        </w:tc>
        <w:tc>
          <w:tcPr>
            <w:tcW w:type="dxa" w:w="75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sz w:val="18"/>
                <w:szCs w:val="18"/>
              </w:rPr>
              <w:t xml:space="preserve">Weighted Average Cost of Capital — blended cost of equity and debt financing</w:t>
            </w:r>
          </w:p>
        </w:tc>
      </w:tr>
    </w:tbl>
    <w:p>
      <w:pPr>
        <w:spacing w:after="80"/>
      </w:pPr>
      <w:r>
        <w:t xml:space="preserve"/>
      </w:r>
    </w:p>
    <w:p>
      <w:pPr>
        <w:spacing w:before="480"/>
        <w:jc w:val="center"/>
      </w:pPr>
      <w:r>
        <w:rPr>
          <w:i/>
          <w:iCs/>
          <w:color w:val="888888"/>
          <w:sz w:val="20"/>
          <w:szCs w:val="20"/>
        </w:rPr>
        <w:t xml:space="preserve">— End of Technical Design Document v1.0 —</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20"/>
      <w:tblBorders>
        <w:top w:val="single" w:color="0D47A1" w:sz="4"/>
        <w:left w:val="none"/>
        <w:bottom w:val="none"/>
        <w:right w:val="none"/>
        <w:insideH w:val="single" w:color="auto" w:sz="4"/>
        <w:insideV w:val="single" w:color="auto" w:sz="4"/>
      </w:tblBorders>
    </w:tblPr>
    <w:tblGrid>
      <w:gridCol w:w="6000"/>
      <w:gridCol w:w="3720"/>
    </w:tblGrid>
    <w:tr>
      <w:tc>
        <w:tcPr>
          <w:tcW w:type="dxa" w:w="6000"/>
          <w:tcBorders>
            <w:top w:val="none"/>
            <w:left w:val="none"/>
            <w:bottom w:val="none"/>
            <w:right w:val="none"/>
          </w:tcBorders>
        </w:tcPr>
        <w:p>
          <w:r>
            <w:rPr>
              <w:color w:val="999999"/>
              <w:sz w:val="16"/>
              <w:szCs w:val="16"/>
            </w:rPr>
            <w:t xml:space="preserve">FinAnalytica Technical Design  —  Confidential</w:t>
          </w:r>
        </w:p>
      </w:tc>
      <w:tc>
        <w:tcPr>
          <w:tcW w:type="dxa" w:w="3720"/>
          <w:tcBorders>
            <w:top w:val="none"/>
            <w:left w:val="none"/>
            <w:bottom w:val="none"/>
            <w:right w:val="none"/>
          </w:tcBorders>
        </w:tcPr>
        <w:p>
          <w:pPr>
            <w:jc w:val="right"/>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none"/>
        <w:left w:val="none"/>
        <w:bottom w:val="single" w:color="0D47A1" w:sz="4"/>
        <w:right w:val="none"/>
        <w:insideH w:val="single" w:color="auto" w:sz="4"/>
        <w:insideV w:val="single" w:color="auto" w:sz="4"/>
      </w:tblBorders>
    </w:tblPr>
    <w:tblGrid>
      <w:gridCol w:w="6000"/>
      <w:gridCol w:w="3720"/>
    </w:tblGrid>
    <w:tr>
      <w:tc>
        <w:tcPr>
          <w:tcW w:type="dxa" w:w="6000"/>
          <w:tcBorders>
            <w:top w:val="none"/>
            <w:left w:val="none"/>
            <w:bottom w:val="none"/>
            <w:right w:val="none"/>
          </w:tcBorders>
        </w:tcPr>
        <w:p>
          <w:r>
            <w:rPr>
              <w:b/>
              <w:bCs/>
              <w:color w:val="0D47A1"/>
              <w:sz w:val="18"/>
              <w:szCs w:val="18"/>
            </w:rPr>
            <w:t xml:space="preserve">FinAnalytica — Technical Design Document</w:t>
          </w:r>
        </w:p>
      </w:tc>
      <w:tc>
        <w:tcPr>
          <w:tcW w:type="dxa" w:w="3720"/>
          <w:tcBorders>
            <w:top w:val="none"/>
            <w:left w:val="none"/>
            <w:bottom w:val="none"/>
            <w:right w:val="none"/>
          </w:tcBorders>
        </w:tcPr>
        <w:p>
          <w:pPr>
            <w:jc w:val="right"/>
          </w:pPr>
          <w:r>
            <w:rPr>
              <w:color w:val="999999"/>
              <w:sz w:val="18"/>
              <w:szCs w:val="18"/>
            </w:rPr>
            <w:t xml:space="preserve">INTERNAL  |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D47A1"/>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565C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2026-03-05T21:27:44.136Z</dcterms:created>
  <dcterms:modified xsi:type="dcterms:W3CDTF">2026-03-05T21:27:44.137Z</dcterms:modified>
</cp:coreProperties>
</file>

<file path=docProps/custom.xml><?xml version="1.0" encoding="utf-8"?>
<Properties xmlns="http://schemas.openxmlformats.org/officeDocument/2006/custom-properties" xmlns:vt="http://schemas.openxmlformats.org/officeDocument/2006/docPropsVTypes"/>
</file>