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PROJECT SPECIFICATION</w:t>
      </w:r>
    </w:p>
    <w:p>
      <w:pPr>
        <w:jc w:val="center"/>
      </w:pPr>
      <w:r>
        <w:rPr>
          <w:b/>
          <w:color w:val="17365D"/>
          <w:sz w:val="56"/>
        </w:rPr>
        <w:t>Multimodal Document Intelligence</w:t>
        <w:br/>
        <w:t>&amp; Grounded Learning Platform</w:t>
      </w:r>
    </w:p>
    <w:p>
      <w:pPr>
        <w:jc w:val="center"/>
      </w:pPr>
      <w:r>
        <w:rPr>
          <w:i/>
          <w:sz w:val="24"/>
        </w:rPr>
        <w:t>Technical Vision • Product Scope • Architecture • Development Methodology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7365D"/>
              </w:rPr>
              <w:t>Project Principle</w:t>
              <w:br/>
            </w:r>
            <w:r>
              <w:rPr>
                <w:sz w:val="20"/>
              </w:rPr>
              <w:t>Evidence first, intelligence second. The uploaded document is the source of truth; AI provides reasoning, synthesis and explanation over validated evidence.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 Type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Project Specification / Technical Product Overview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Audience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Development team, reviewers, academic/project evaluators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Primary Domain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Multimodal document intelligence and student learning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Current Development Stage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 ingestion and evidence generation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Architecture established; implementation progressing incrementally</w:t>
            </w:r>
          </w:p>
        </w:tc>
      </w:tr>
    </w:tbl>
    <w:p/>
    <w:p>
      <w:pPr>
        <w:pStyle w:val="SmallNote"/>
        <w:jc w:val="center"/>
      </w:pPr>
      <w:r>
        <w:t>Prepared from the current project direction, architecture decisions, implemented foundation, and agreed development methodology.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Executive Overview</w:t>
      </w:r>
    </w:p>
    <w:p>
      <w:pPr>
        <w:pStyle w:val="ListNumber"/>
      </w:pPr>
      <w:r>
        <w:t>2. Product Vision and Objectives</w:t>
      </w:r>
    </w:p>
    <w:p>
      <w:pPr>
        <w:pStyle w:val="ListNumber"/>
      </w:pPr>
      <w:r>
        <w:t>3. Core Differentiation</w:t>
      </w:r>
    </w:p>
    <w:p>
      <w:pPr>
        <w:pStyle w:val="ListNumber"/>
      </w:pPr>
      <w:r>
        <w:t>4. Functional Scope</w:t>
      </w:r>
    </w:p>
    <w:p>
      <w:pPr>
        <w:pStyle w:val="ListNumber"/>
      </w:pPr>
      <w:r>
        <w:t>5. Evidence and Provenance Architecture</w:t>
      </w:r>
    </w:p>
    <w:p>
      <w:pPr>
        <w:pStyle w:val="ListNumber"/>
      </w:pPr>
      <w:r>
        <w:t>6. Multimodal Document Understanding</w:t>
      </w:r>
    </w:p>
    <w:p>
      <w:pPr>
        <w:pStyle w:val="ListNumber"/>
      </w:pPr>
      <w:r>
        <w:t>7. Grounded RAG and Retrieval</w:t>
      </w:r>
    </w:p>
    <w:p>
      <w:pPr>
        <w:pStyle w:val="ListNumber"/>
      </w:pPr>
      <w:r>
        <w:t>8. Student Learning Features</w:t>
      </w:r>
    </w:p>
    <w:p>
      <w:pPr>
        <w:pStyle w:val="ListNumber"/>
      </w:pPr>
      <w:r>
        <w:t>9. Technical Architecture</w:t>
      </w:r>
    </w:p>
    <w:p>
      <w:pPr>
        <w:pStyle w:val="ListNumber"/>
      </w:pPr>
      <w:r>
        <w:t>10. Technology Stack</w:t>
      </w:r>
    </w:p>
    <w:p>
      <w:pPr>
        <w:pStyle w:val="ListNumber"/>
      </w:pPr>
      <w:r>
        <w:t>11. Data and Storage Architecture</w:t>
      </w:r>
    </w:p>
    <w:p>
      <w:pPr>
        <w:pStyle w:val="ListNumber"/>
      </w:pPr>
      <w:r>
        <w:t>12. AI Provider Architecture</w:t>
      </w:r>
    </w:p>
    <w:p>
      <w:pPr>
        <w:pStyle w:val="ListNumber"/>
      </w:pPr>
      <w:r>
        <w:t>13. Frontend and User Experience</w:t>
      </w:r>
    </w:p>
    <w:p>
      <w:pPr>
        <w:pStyle w:val="ListNumber"/>
      </w:pPr>
      <w:r>
        <w:t>14. Security, Reliability and Failure Handling</w:t>
      </w:r>
    </w:p>
    <w:p>
      <w:pPr>
        <w:pStyle w:val="ListNumber"/>
      </w:pPr>
      <w:r>
        <w:t>15. Testing and Validation Strategy</w:t>
      </w:r>
    </w:p>
    <w:p>
      <w:pPr>
        <w:pStyle w:val="ListNumber"/>
      </w:pPr>
      <w:r>
        <w:t>16. Development Methodology</w:t>
      </w:r>
    </w:p>
    <w:p>
      <w:pPr>
        <w:pStyle w:val="ListNumber"/>
      </w:pPr>
      <w:r>
        <w:t>17. Implementation Roadmap</w:t>
      </w:r>
    </w:p>
    <w:p>
      <w:pPr>
        <w:pStyle w:val="ListNumber"/>
      </w:pPr>
      <w:r>
        <w:t>18. Current Project Status</w:t>
      </w:r>
    </w:p>
    <w:p>
      <w:pPr>
        <w:pStyle w:val="ListNumber"/>
      </w:pPr>
      <w:r>
        <w:t>19. Design Principles and Non-Goals</w:t>
      </w:r>
    </w:p>
    <w:p>
      <w:pPr>
        <w:pStyle w:val="ListNumber"/>
      </w:pPr>
      <w:r>
        <w:t>20. Final Product Definition</w:t>
      </w:r>
    </w:p>
    <w:p>
      <w:r>
        <w:br w:type="page"/>
      </w:r>
    </w:p>
    <w:p>
      <w:pPr>
        <w:pStyle w:val="Heading1"/>
      </w:pPr>
      <w:r>
        <w:t>1. Executive Overview</w:t>
      </w:r>
    </w:p>
    <w:p>
      <w:r>
        <w:t>The project is a multimodal, evidence-grounded document intelligence and learning platform designed for students and academic content. Users will upload documents such as PDF, PPT/PPTX, DOC/DOCX and TXT files. The platform will transform those documents into a structured, traceable knowledge base that supports grounded question answering, summaries, document insights, visual understanding, assessments and learning workflows.</w:t>
      </w:r>
    </w:p>
    <w:p>
      <w:r>
        <w:t>The system is deliberately designed to go beyond a conventional “chat with PDF” application. Instead of treating a document as an undifferentiated collection of text chunks, the platform preserves document structure and provenance at page, slide, element, text-range and visual-region levels.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7365D"/>
              </w:rPr>
              <w:t>Central Architectural Idea</w:t>
              <w:br/>
            </w:r>
            <w:r>
              <w:rPr>
                <w:sz w:val="20"/>
              </w:rPr>
              <w:t>The LLM is a reasoning and explanation layer, not the source of truth. Deterministically extracted document evidence is stored first, retrieved later, and used to ground AI-generated outputs.</w:t>
            </w:r>
          </w:p>
        </w:tc>
      </w:tr>
    </w:tbl>
    <w:p/>
    <w:p>
      <w:pPr>
        <w:pStyle w:val="Heading1"/>
      </w:pPr>
      <w:r>
        <w:t>2. Product Vision and Objectives</w:t>
      </w:r>
    </w:p>
    <w:p>
      <w:pPr>
        <w:pStyle w:val="Heading2"/>
      </w:pPr>
      <w:r>
        <w:t>2.1 Vision</w:t>
      </w:r>
    </w:p>
    <w:p>
      <w:r>
        <w:t>Create a student-focused workspace in which academic documents become interactive learning resources rather than static files. A student should be able to upload material, ask questions, inspect the evidence supporting answers, understand diagrams and tables, generate study material, practise through assessments and track learning progress.</w:t>
      </w:r>
    </w:p>
    <w:p>
      <w:pPr>
        <w:pStyle w:val="Heading2"/>
      </w:pPr>
      <w:r>
        <w:t>2.2 Primary Objectives</w:t>
      </w:r>
    </w:p>
    <w:p>
      <w:pPr>
        <w:pStyle w:val="ListBullet"/>
        <w:ind w:left="360"/>
      </w:pPr>
      <w:r>
        <w:t>Support multiple academic document formats through a common ingestion pipeline.</w:t>
      </w:r>
    </w:p>
    <w:p>
      <w:pPr>
        <w:pStyle w:val="ListBullet"/>
        <w:ind w:left="360"/>
      </w:pPr>
      <w:r>
        <w:t>Preserve document structure and provenance instead of flattening everything into plain text.</w:t>
      </w:r>
    </w:p>
    <w:p>
      <w:pPr>
        <w:pStyle w:val="ListBullet"/>
        <w:ind w:left="360"/>
      </w:pPr>
      <w:r>
        <w:t>Provide grounded answers with precise, resolvable citations.</w:t>
      </w:r>
    </w:p>
    <w:p>
      <w:pPr>
        <w:pStyle w:val="ListBullet"/>
        <w:ind w:left="360"/>
      </w:pPr>
      <w:r>
        <w:t>Support multimodal content such as images, figures, tables, charts, equations and diagrams.</w:t>
      </w:r>
    </w:p>
    <w:p>
      <w:pPr>
        <w:pStyle w:val="ListBullet"/>
        <w:ind w:left="360"/>
      </w:pPr>
      <w:r>
        <w:t>Use one evidence engine as the foundation for Q&amp;A, summaries, MCQs, flashcards and other learning features.</w:t>
      </w:r>
    </w:p>
    <w:p>
      <w:pPr>
        <w:pStyle w:val="ListBullet"/>
        <w:ind w:left="360"/>
      </w:pPr>
      <w:r>
        <w:t>Keep the initial infrastructure lightweight and introduce additional services only when justified by requirements or benchmarks.</w:t>
      </w:r>
    </w:p>
    <w:p>
      <w:pPr>
        <w:pStyle w:val="ListBullet"/>
        <w:ind w:left="360"/>
      </w:pPr>
      <w:r>
        <w:t>Provide a production-quality student experience rather than a basic CRUD-style document chatbot.</w:t>
      </w:r>
    </w:p>
    <w:p>
      <w:pPr>
        <w:pStyle w:val="Heading1"/>
      </w:pPr>
      <w:r>
        <w:t>3. Core Differentiation</w:t>
      </w:r>
    </w:p>
    <w:p>
      <w:r>
        <w:t>The intended differentiation is primarily architectural and product-oriented: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Conventional Document Chat</w:t>
            </w:r>
          </w:p>
        </w:tc>
        <w:tc>
          <w:tcPr>
            <w:tcW w:type="dxa" w:w="49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This Platform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Mostly chunk-based retrieval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Evidence-first model with document hierarchy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Generic chunk citations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Page/slide/element/text-range/visual-region provenance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Text-centric processing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Multimodal document representation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LLM output treated as final answer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Evidence retrieval and validation precede reasoning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Separate AI pipelines for each feature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Shared evidence engine across learning features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Large infrastructure from the beginning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Incremental architecture with justified complexity</w:t>
            </w:r>
          </w:p>
        </w:tc>
      </w:tr>
    </w:tbl>
    <w:p/>
    <w:p>
      <w:r>
        <w:t>The project is informed by existing multimodal RAG and student-study-assistant systems, but it is being implemented as a new architecture rather than copied from those projects.</w:t>
      </w:r>
    </w:p>
    <w:p>
      <w:pPr>
        <w:pStyle w:val="Heading1"/>
      </w:pPr>
      <w:r>
        <w:t>4. Functional Scope</w:t>
      </w:r>
    </w:p>
    <w:p>
      <w:pPr>
        <w:pStyle w:val="Heading2"/>
      </w:pPr>
      <w:r>
        <w:t>4.1 Document Ingestion</w:t>
      </w:r>
    </w:p>
    <w:p>
      <w:pPr>
        <w:pStyle w:val="ListBullet"/>
        <w:ind w:left="360"/>
      </w:pPr>
      <w:r>
        <w:t>PDF ingestion with page-aware extraction.</w:t>
      </w:r>
    </w:p>
    <w:p>
      <w:pPr>
        <w:pStyle w:val="ListBullet"/>
        <w:ind w:left="360"/>
      </w:pPr>
      <w:r>
        <w:t>PPT/PPTX ingestion with slide and shape-level structure.</w:t>
      </w:r>
    </w:p>
    <w:p>
      <w:pPr>
        <w:pStyle w:val="ListBullet"/>
        <w:ind w:left="360"/>
      </w:pPr>
      <w:r>
        <w:t>DOC/DOCX ingestion with paragraphs, headings, lists, tables and embedded assets.</w:t>
      </w:r>
    </w:p>
    <w:p>
      <w:pPr>
        <w:pStyle w:val="ListBullet"/>
        <w:ind w:left="360"/>
      </w:pPr>
      <w:r>
        <w:t>TXT ingestion.</w:t>
      </w:r>
    </w:p>
    <w:p>
      <w:pPr>
        <w:pStyle w:val="ListBullet"/>
        <w:ind w:left="360"/>
      </w:pPr>
      <w:r>
        <w:t>Document and version management.</w:t>
      </w:r>
    </w:p>
    <w:p>
      <w:pPr>
        <w:pStyle w:val="ListBullet"/>
        <w:ind w:left="360"/>
      </w:pPr>
      <w:r>
        <w:t>Processing state and failure handling.</w:t>
      </w:r>
    </w:p>
    <w:p>
      <w:pPr>
        <w:pStyle w:val="Heading2"/>
      </w:pPr>
      <w:r>
        <w:t>4.2 Grounded Q&amp;A</w:t>
      </w:r>
    </w:p>
    <w:p>
      <w:pPr>
        <w:pStyle w:val="ListBullet"/>
        <w:ind w:left="360"/>
      </w:pPr>
      <w:r>
        <w:t>Natural-language questions over uploaded documents.</w:t>
      </w:r>
    </w:p>
    <w:p>
      <w:pPr>
        <w:pStyle w:val="ListBullet"/>
        <w:ind w:left="360"/>
      </w:pPr>
      <w:r>
        <w:t>Hybrid retrieval using semantic and lexical signals.</w:t>
      </w:r>
    </w:p>
    <w:p>
      <w:pPr>
        <w:pStyle w:val="ListBullet"/>
        <w:ind w:left="360"/>
      </w:pPr>
      <w:r>
        <w:t>Evidence validation before generation.</w:t>
      </w:r>
    </w:p>
    <w:p>
      <w:pPr>
        <w:pStyle w:val="ListBullet"/>
        <w:ind w:left="360"/>
      </w:pPr>
      <w:r>
        <w:t>Citation-backed answers.</w:t>
      </w:r>
    </w:p>
    <w:p>
      <w:pPr>
        <w:pStyle w:val="ListBullet"/>
        <w:ind w:left="360"/>
      </w:pPr>
      <w:r>
        <w:t>Graceful handling when the requested information is not present in the source.</w:t>
      </w:r>
    </w:p>
    <w:p>
      <w:pPr>
        <w:pStyle w:val="Heading2"/>
      </w:pPr>
      <w:r>
        <w:t>4.3 Summaries and Insights</w:t>
      </w:r>
    </w:p>
    <w:p>
      <w:pPr>
        <w:pStyle w:val="ListBullet"/>
        <w:ind w:left="360"/>
      </w:pPr>
      <w:r>
        <w:t>Short summaries for quick revision.</w:t>
      </w:r>
    </w:p>
    <w:p>
      <w:pPr>
        <w:pStyle w:val="ListBullet"/>
        <w:ind w:left="360"/>
      </w:pPr>
      <w:r>
        <w:t>Medium summaries for conceptual understanding.</w:t>
      </w:r>
    </w:p>
    <w:p>
      <w:pPr>
        <w:pStyle w:val="ListBullet"/>
        <w:ind w:left="360"/>
      </w:pPr>
      <w:r>
        <w:t>Detailed summaries for comprehensive study.</w:t>
      </w:r>
    </w:p>
    <w:p>
      <w:pPr>
        <w:pStyle w:val="ListBullet"/>
        <w:ind w:left="360"/>
      </w:pPr>
      <w:r>
        <w:t>Identification of important concepts, definitions, relationships, tables, figures and other useful document elements.</w:t>
      </w:r>
    </w:p>
    <w:p>
      <w:pPr>
        <w:pStyle w:val="Heading2"/>
      </w:pPr>
      <w:r>
        <w:t>4.4 Learning Features</w:t>
      </w:r>
    </w:p>
    <w:p>
      <w:pPr>
        <w:pStyle w:val="ListBullet"/>
        <w:ind w:left="360"/>
      </w:pPr>
      <w:r>
        <w:t>MCQ generation.</w:t>
      </w:r>
    </w:p>
    <w:p>
      <w:pPr>
        <w:pStyle w:val="ListBullet"/>
        <w:ind w:left="360"/>
      </w:pPr>
      <w:r>
        <w:t>Short-answer and conceptual questions.</w:t>
      </w:r>
    </w:p>
    <w:p>
      <w:pPr>
        <w:pStyle w:val="ListBullet"/>
        <w:ind w:left="360"/>
      </w:pPr>
      <w:r>
        <w:t>Flashcards.</w:t>
      </w:r>
    </w:p>
    <w:p>
      <w:pPr>
        <w:pStyle w:val="ListBullet"/>
        <w:ind w:left="360"/>
      </w:pPr>
      <w:r>
        <w:t>Assessments.</w:t>
      </w:r>
    </w:p>
    <w:p>
      <w:pPr>
        <w:pStyle w:val="ListBullet"/>
        <w:ind w:left="360"/>
      </w:pPr>
      <w:r>
        <w:t>Study Mode.</w:t>
      </w:r>
    </w:p>
    <w:p>
      <w:pPr>
        <w:pStyle w:val="ListBullet"/>
        <w:ind w:left="360"/>
      </w:pPr>
      <w:r>
        <w:t>Potential future learning analytics, weak-topic detection and revision recommendations.</w:t>
      </w:r>
    </w:p>
    <w:p>
      <w:pPr>
        <w:pStyle w:val="Heading2"/>
      </w:pPr>
      <w:r>
        <w:t>4.5 Gamification and Progress</w:t>
      </w:r>
    </w:p>
    <w:p>
      <w:pPr>
        <w:pStyle w:val="ListBullet"/>
        <w:ind w:left="360"/>
      </w:pPr>
      <w:r>
        <w:t>XP and learning milestones.</w:t>
      </w:r>
    </w:p>
    <w:p>
      <w:pPr>
        <w:pStyle w:val="ListBullet"/>
        <w:ind w:left="360"/>
      </w:pPr>
      <w:r>
        <w:t>Badges.</w:t>
      </w:r>
    </w:p>
    <w:p>
      <w:pPr>
        <w:pStyle w:val="ListBullet"/>
        <w:ind w:left="360"/>
      </w:pPr>
      <w:r>
        <w:t>Streaks.</w:t>
      </w:r>
    </w:p>
    <w:p>
      <w:pPr>
        <w:pStyle w:val="ListBullet"/>
        <w:ind w:left="360"/>
      </w:pPr>
      <w:r>
        <w:t>Completed-topic tracking.</w:t>
      </w:r>
    </w:p>
    <w:p>
      <w:pPr>
        <w:pStyle w:val="ListBullet"/>
        <w:ind w:left="360"/>
      </w:pPr>
      <w:r>
        <w:t>Assessment performance and progress.</w:t>
      </w:r>
    </w:p>
    <w:p>
      <w:pPr>
        <w:pStyle w:val="Heading1"/>
      </w:pPr>
      <w:r>
        <w:t>5. Evidence and Provenance Architecture</w:t>
      </w:r>
    </w:p>
    <w:p>
      <w:r>
        <w:t>Evidence and provenance are foundational rather than an afterthought. The system first represents the source document structurally and creates deterministic evidence records. Retrieval and AI generation operate over this evidence.</w:t>
      </w:r>
    </w:p>
    <w:p>
      <w:pPr>
        <w:pStyle w:val="Heading2"/>
      </w:pPr>
      <w:r>
        <w:t>5.1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49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Logical identity of a document.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document_versions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Immutable uploaded versions of a logical document.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PDF/document page-level surface.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slides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Presentation slide-level surface.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elements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Structured document elements such as paragraphs, tables, images and diagrams.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element_relationships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Relationships between structured elements, including diagram relationships.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assets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Content-addressed supporting files/assets.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evidence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First-class source evidence used by retrieval and citations.</w:t>
            </w:r>
          </w:p>
        </w:tc>
      </w:tr>
    </w:tbl>
    <w:p/>
    <w:p>
      <w:pPr>
        <w:pStyle w:val="Heading2"/>
      </w:pPr>
      <w:r>
        <w:t>5.2 Supported Element Types</w:t>
      </w:r>
    </w:p>
    <w:p>
      <w:r>
        <w:t>The current schema contract defines 19 element types:</w:t>
      </w:r>
    </w:p>
    <w:p>
      <w:r>
        <w:t>text_block, paragraph, heading, list, list_item, table, image, figure, diagram, chart, equation, code_block, caption, header, footer, textbox, shape, connector, other.</w:t>
      </w:r>
    </w:p>
    <w:p>
      <w:pPr>
        <w:pStyle w:val="Heading2"/>
      </w:pPr>
      <w:r>
        <w:t>5.3 Evidence Locators</w:t>
      </w:r>
    </w:p>
    <w:p>
      <w:r>
        <w:t>Five locator types are currently defined:</w:t>
      </w:r>
    </w:p>
    <w:p>
      <w:pPr>
        <w:pStyle w:val="ListBullet"/>
        <w:ind w:left="360"/>
      </w:pPr>
      <w:r>
        <w:t>element</w:t>
      </w:r>
    </w:p>
    <w:p>
      <w:pPr>
        <w:pStyle w:val="ListBullet"/>
        <w:ind w:left="360"/>
      </w:pPr>
      <w:r>
        <w:t>text_span</w:t>
      </w:r>
    </w:p>
    <w:p>
      <w:pPr>
        <w:pStyle w:val="ListBullet"/>
        <w:ind w:left="360"/>
      </w:pPr>
      <w:r>
        <w:t>table_cell</w:t>
      </w:r>
    </w:p>
    <w:p>
      <w:pPr>
        <w:pStyle w:val="ListBullet"/>
        <w:ind w:left="360"/>
      </w:pPr>
      <w:r>
        <w:t>diagram_node</w:t>
      </w:r>
    </w:p>
    <w:p>
      <w:pPr>
        <w:pStyle w:val="ListBullet"/>
        <w:ind w:left="360"/>
      </w:pPr>
      <w:r>
        <w:t>visual_region</w:t>
      </w:r>
    </w:p>
    <w:p>
      <w:pPr>
        <w:pStyle w:val="Heading2"/>
      </w:pPr>
      <w:r>
        <w:t>5.4 Provenance and Bounding Boxes</w:t>
      </w:r>
    </w:p>
    <w:p>
      <w:r>
        <w:t>Bounding boxes use a normalized top-left coordinate system with x0, y0, x1 and y1 values in the [0,1] range. Raw coordinates can be retained for auditability. This provides a foundation for future source highlighting in the document viewer.</w:t>
      </w:r>
    </w:p>
    <w:p>
      <w:pPr>
        <w:pStyle w:val="Heading2"/>
      </w:pPr>
      <w:r>
        <w:t>5.5 Source Address Examples</w:t>
      </w:r>
    </w:p>
    <w:p>
      <w:r>
        <w:rPr>
          <w:rFonts w:ascii="Consolas" w:hAnsi="Consolas"/>
          <w:sz w:val="18"/>
        </w:rPr>
        <w:t>pdf:v/1/page/11/element/7/span/120-184</w:t>
      </w:r>
    </w:p>
    <w:p>
      <w:r>
        <w:rPr>
          <w:rFonts w:ascii="Consolas" w:hAnsi="Consolas"/>
          <w:sz w:val="18"/>
        </w:rPr>
        <w:t>pdf:v/1/page/13/element/2/node/n7</w:t>
      </w:r>
    </w:p>
    <w:p>
      <w:r>
        <w:rPr>
          <w:rFonts w:ascii="Consolas" w:hAnsi="Consolas"/>
          <w:sz w:val="18"/>
        </w:rPr>
        <w:t>pptx:v/1/slide/7/element/17</w:t>
      </w:r>
    </w:p>
    <w:p>
      <w:r>
        <w:rPr>
          <w:rFonts w:ascii="Consolas" w:hAnsi="Consolas"/>
          <w:sz w:val="18"/>
        </w:rPr>
        <w:t>docx:v/1/page/4/element/12/table/rows/2/cells/1</w:t>
      </w:r>
    </w:p>
    <w:p>
      <w:r>
        <w:rPr>
          <w:rFonts w:ascii="Consolas" w:hAnsi="Consolas"/>
          <w:sz w:val="18"/>
        </w:rPr>
        <w:t>pdf:v/1/page/3/element/5/region/0.1200-0.3100-0.8100-0.4400</w:t>
      </w:r>
    </w:p>
    <w:p>
      <w:r>
        <w:t>Evidence is restricted to deterministic extraction products. Model-derived interpretations are intentionally separate and are not promoted to canonical evidence.</w:t>
      </w:r>
    </w:p>
    <w:p>
      <w:pPr>
        <w:pStyle w:val="Heading1"/>
      </w:pPr>
      <w:r>
        <w:t>6. Multimodal Document Understanding</w:t>
      </w:r>
    </w:p>
    <w:p>
      <w:pPr>
        <w:pStyle w:val="Heading2"/>
      </w:pPr>
      <w:r>
        <w:t>6.1 Structured Visual Content</w:t>
      </w:r>
    </w:p>
    <w:p>
      <w:r>
        <w:t>The platform is intended to understand more than OCR text. Images, figures, charts, tables, equations and diagrams should retain their relationship to surrounding content.</w:t>
      </w:r>
    </w:p>
    <w:p>
      <w:pPr>
        <w:pStyle w:val="Heading2"/>
      </w:pPr>
      <w:r>
        <w:t>6.2 Diagram and Flowchart Understanding</w:t>
      </w:r>
    </w:p>
    <w:p>
      <w:r>
        <w:t>A flowchart such as User → Frontend → API Gateway → Database should eventually be represented through nodes and relationships, rather than being reduced to a sequence of OCR tokens. The current model therefore reserves explicit diagram nodes, connectors and element relationships for this purpose.</w:t>
      </w:r>
    </w:p>
    <w:p>
      <w:pPr>
        <w:pStyle w:val="Heading2"/>
      </w:pPr>
      <w:r>
        <w:t>6.3 Future Visual Grounding</w:t>
      </w:r>
    </w:p>
    <w:p>
      <w:r>
        <w:t>The combination of visual-region evidence and normalized bounding boxes provides a path toward clicking a citation and highlighting the corresponding region in a rendered document or slide.</w:t>
      </w:r>
    </w:p>
    <w:p>
      <w:pPr>
        <w:pStyle w:val="Heading1"/>
      </w:pPr>
      <w:r>
        <w:t>7. Grounded RAG and Retrieval</w:t>
      </w:r>
    </w:p>
    <w:p>
      <w:pPr>
        <w:pStyle w:val="Heading2"/>
      </w:pPr>
      <w:r>
        <w:t>7.1 Retrieval Flow</w:t>
      </w:r>
    </w:p>
    <w:p>
      <w:pPr>
        <w:pStyle w:val="ListNumber"/>
      </w:pPr>
      <w:r>
        <w:t>Receive the student's question.</w:t>
      </w:r>
    </w:p>
    <w:p>
      <w:pPr>
        <w:pStyle w:val="ListNumber"/>
      </w:pPr>
      <w:r>
        <w:t>Normalize and process the query.</w:t>
      </w:r>
    </w:p>
    <w:p>
      <w:pPr>
        <w:pStyle w:val="ListNumber"/>
      </w:pPr>
      <w:r>
        <w:t>Retrieve relevant evidence using hybrid semantic and lexical retrieval.</w:t>
      </w:r>
    </w:p>
    <w:p>
      <w:pPr>
        <w:pStyle w:val="ListNumber"/>
      </w:pPr>
      <w:r>
        <w:t>Select and validate supporting evidence.</w:t>
      </w:r>
    </w:p>
    <w:p>
      <w:pPr>
        <w:pStyle w:val="ListNumber"/>
      </w:pPr>
      <w:r>
        <w:t>Construct a grounded context for the AI layer.</w:t>
      </w:r>
    </w:p>
    <w:p>
      <w:pPr>
        <w:pStyle w:val="ListNumber"/>
      </w:pPr>
      <w:r>
        <w:t>Generate an answer constrained by the retrieved evidence.</w:t>
      </w:r>
    </w:p>
    <w:p>
      <w:pPr>
        <w:pStyle w:val="ListNumber"/>
      </w:pPr>
      <w:r>
        <w:t>Return the answer together with resolvable citations.</w:t>
      </w:r>
    </w:p>
    <w:p>
      <w:pPr>
        <w:pStyle w:val="Heading2"/>
      </w:pPr>
      <w:r>
        <w:t>7.2 Hybrid Retrieval</w:t>
      </w:r>
    </w:p>
    <w:p>
      <w:r>
        <w:t>Dense retrieval handles semantic similarity while PostgreSQL full-text search provides lexical matching. A reranker such as FlashRank is considered optional and will only be introduced if retrieval benchmarks demonstrate a need.</w:t>
      </w:r>
    </w:p>
    <w:p>
      <w:pPr>
        <w:pStyle w:val="Heading2"/>
      </w:pPr>
      <w:r>
        <w:t>7.3 Grounding Failure Behaviour</w:t>
      </w:r>
    </w:p>
    <w:p>
      <w:r>
        <w:t>When relevant evidence cannot be found, the preferred behaviour is to state that the information could not be found in the uploaded material rather than fabricate an answer.</w:t>
      </w:r>
    </w:p>
    <w:p>
      <w:pPr>
        <w:pStyle w:val="Heading1"/>
      </w:pPr>
      <w:r>
        <w:t>8. Student Learning Features</w:t>
      </w:r>
    </w:p>
    <w:p>
      <w:pPr>
        <w:pStyle w:val="Heading2"/>
      </w:pPr>
      <w:r>
        <w:t>Summaries</w:t>
      </w:r>
    </w:p>
    <w:p>
      <w:r>
        <w:t>Generate short, medium and detailed study summaries from grounded document evidence.</w:t>
      </w:r>
    </w:p>
    <w:p>
      <w:pPr>
        <w:pStyle w:val="Heading2"/>
      </w:pPr>
      <w:r>
        <w:t>Document Insights</w:t>
      </w:r>
    </w:p>
    <w:p>
      <w:r>
        <w:t>Surface important concepts, definitions, relationships, figures, tables and other useful study material.</w:t>
      </w:r>
    </w:p>
    <w:p>
      <w:pPr>
        <w:pStyle w:val="Heading2"/>
      </w:pPr>
      <w:r>
        <w:t>MCQs</w:t>
      </w:r>
    </w:p>
    <w:p>
      <w:r>
        <w:t>Generate multiple-choice questions from selected evidence and validate the resulting structure and answer.</w:t>
      </w:r>
    </w:p>
    <w:p>
      <w:pPr>
        <w:pStyle w:val="Heading2"/>
      </w:pPr>
      <w:r>
        <w:t>Flashcards</w:t>
      </w:r>
    </w:p>
    <w:p>
      <w:r>
        <w:t>Convert grounded concepts into revision cards with source references.</w:t>
      </w:r>
    </w:p>
    <w:p>
      <w:pPr>
        <w:pStyle w:val="Heading2"/>
      </w:pPr>
      <w:r>
        <w:t>Assessments</w:t>
      </w:r>
    </w:p>
    <w:p>
      <w:r>
        <w:t>Combine MCQs, short-answer and conceptual questions into structured assessments.</w:t>
      </w:r>
    </w:p>
    <w:p>
      <w:pPr>
        <w:pStyle w:val="Heading2"/>
      </w:pPr>
      <w:r>
        <w:t>Study Mode</w:t>
      </w:r>
    </w:p>
    <w:p>
      <w:r>
        <w:t>Provide a guided workflow that moves a student from reading to asking, practising, reviewing and assessing.</w:t>
      </w:r>
    </w:p>
    <w:p>
      <w:pPr>
        <w:pStyle w:val="Heading2"/>
      </w:pPr>
      <w:r>
        <w:t>Gamification</w:t>
      </w:r>
    </w:p>
    <w:p>
      <w:r>
        <w:t>Add XP, badges, streaks and progress once the grounded learning layer is stable.</w:t>
      </w:r>
    </w:p>
    <w:p>
      <w:pPr>
        <w:pStyle w:val="Heading2"/>
      </w:pPr>
      <w:r>
        <w:t>Learning Analytics</w:t>
      </w:r>
    </w:p>
    <w:p>
      <w:r>
        <w:t>Potentially identify weak topics, strong topics and revision needs from student interactions and assessment performance.</w:t>
      </w:r>
    </w:p>
    <w:p>
      <w:pPr>
        <w:pStyle w:val="Heading1"/>
      </w:pPr>
      <w:r>
        <w:t>9. Technical Architecture</w:t>
      </w:r>
    </w:p>
    <w:p>
      <w:pPr>
        <w:pStyle w:val="Heading2"/>
      </w:pPr>
      <w:r>
        <w:t>9.1 High-Level Flow</w:t>
      </w:r>
    </w:p>
    <w:p>
      <w:r>
        <w:t>Student → React frontend → FastAPI backend → ingestion/retrieval/learning services → evidence layer → PostgreSQL/pgvector → AI provider abstraction.</w:t>
      </w:r>
    </w:p>
    <w:p>
      <w:pPr>
        <w:pStyle w:val="Heading2"/>
      </w:pPr>
      <w:r>
        <w:t>9.2 Backend Responsibilities</w:t>
      </w:r>
    </w:p>
    <w:p>
      <w:pPr>
        <w:pStyle w:val="ListBullet"/>
        <w:ind w:left="360"/>
      </w:pPr>
      <w:r>
        <w:t>Document and version management.</w:t>
      </w:r>
    </w:p>
    <w:p>
      <w:pPr>
        <w:pStyle w:val="ListBullet"/>
        <w:ind w:left="360"/>
      </w:pPr>
      <w:r>
        <w:t>File ingestion and parser orchestration.</w:t>
      </w:r>
    </w:p>
    <w:p>
      <w:pPr>
        <w:pStyle w:val="ListBullet"/>
        <w:ind w:left="360"/>
      </w:pPr>
      <w:r>
        <w:t>Evidence and provenance creation.</w:t>
      </w:r>
    </w:p>
    <w:p>
      <w:pPr>
        <w:pStyle w:val="ListBullet"/>
        <w:ind w:left="360"/>
      </w:pPr>
      <w:r>
        <w:t>Asset handling.</w:t>
      </w:r>
    </w:p>
    <w:p>
      <w:pPr>
        <w:pStyle w:val="ListBullet"/>
        <w:ind w:left="360"/>
      </w:pPr>
      <w:r>
        <w:t>Chunking and indexing.</w:t>
      </w:r>
    </w:p>
    <w:p>
      <w:pPr>
        <w:pStyle w:val="ListBullet"/>
        <w:ind w:left="360"/>
      </w:pPr>
      <w:r>
        <w:t>Hybrid retrieval.</w:t>
      </w:r>
    </w:p>
    <w:p>
      <w:pPr>
        <w:pStyle w:val="ListBullet"/>
        <w:ind w:left="360"/>
      </w:pPr>
      <w:r>
        <w:t>Grounded prompt/context construction.</w:t>
      </w:r>
    </w:p>
    <w:p>
      <w:pPr>
        <w:pStyle w:val="ListBullet"/>
        <w:ind w:left="360"/>
      </w:pPr>
      <w:r>
        <w:t>AI provider abstraction.</w:t>
      </w:r>
    </w:p>
    <w:p>
      <w:pPr>
        <w:pStyle w:val="ListBullet"/>
        <w:ind w:left="360"/>
      </w:pPr>
      <w:r>
        <w:t>Learning feature orchestration.</w:t>
      </w:r>
    </w:p>
    <w:p>
      <w:pPr>
        <w:pStyle w:val="ListBullet"/>
        <w:ind w:left="360"/>
      </w:pPr>
      <w:r>
        <w:t>API-level validation and error handling.</w:t>
      </w:r>
    </w:p>
    <w:p>
      <w:pPr>
        <w:pStyle w:val="Heading2"/>
      </w:pPr>
      <w:r>
        <w:t>9.3 Initial Service Boundaries</w:t>
      </w:r>
    </w:p>
    <w:p>
      <w:pPr>
        <w:pStyle w:val="ListBullet"/>
        <w:ind w:left="360"/>
      </w:pPr>
      <w:r>
        <w:t>Document API</w:t>
      </w:r>
    </w:p>
    <w:p>
      <w:pPr>
        <w:pStyle w:val="ListBullet"/>
        <w:ind w:left="360"/>
      </w:pPr>
      <w:r>
        <w:t>Ingestion service</w:t>
      </w:r>
    </w:p>
    <w:p>
      <w:pPr>
        <w:pStyle w:val="ListBullet"/>
        <w:ind w:left="360"/>
      </w:pPr>
      <w:r>
        <w:t>Parser layer</w:t>
      </w:r>
    </w:p>
    <w:p>
      <w:pPr>
        <w:pStyle w:val="ListBullet"/>
        <w:ind w:left="360"/>
      </w:pPr>
      <w:r>
        <w:t>Evidence service</w:t>
      </w:r>
    </w:p>
    <w:p>
      <w:pPr>
        <w:pStyle w:val="ListBullet"/>
        <w:ind w:left="360"/>
      </w:pPr>
      <w:r>
        <w:t>Retrieval service</w:t>
      </w:r>
    </w:p>
    <w:p>
      <w:pPr>
        <w:pStyle w:val="ListBullet"/>
        <w:ind w:left="360"/>
      </w:pPr>
      <w:r>
        <w:t>AI service</w:t>
      </w:r>
    </w:p>
    <w:p>
      <w:pPr>
        <w:pStyle w:val="ListBullet"/>
        <w:ind w:left="360"/>
      </w:pPr>
      <w:r>
        <w:t>Learning service</w:t>
      </w:r>
    </w:p>
    <w:p>
      <w:r>
        <w:t>These boundaries are logical service responsibilities inside the initial application; the project is not being forced into a distributed microservices architecture prematurely.</w:t>
      </w:r>
    </w:p>
    <w:p>
      <w:pPr>
        <w:pStyle w:val="Heading1"/>
      </w:pPr>
      <w:r>
        <w:t>10.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Technology / Approach</w:t>
            </w:r>
          </w:p>
        </w:tc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React + TypeScript + Vite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Student-facing application and document workspace.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Tailwind / shadcn-style component approach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Modern, consistent product UI.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Python + FastAPI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REST API and orchestration.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ORM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SQLAlchemy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Database access and models.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Migrations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Alembic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Schema versioning.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Database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PostgreSQL 16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Primary relational and provenance store.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Vector search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pgvector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Dense embedding retrieval.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Lexical search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PostgreSQL full-text search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Keyword/lexical retrieval.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PDF parsing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PyMuPDF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PDF text/layout extraction.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DOCX parsing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python-docx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Word document structure extraction.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PPTX parsing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python-pptx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Presentation structure extraction.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Storage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Local storage abstraction initially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Source and derived asset handling.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Provider abstraction; OpenRouter-compatible routing initially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LLM generation with provider flexibility.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Testing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Backend and frontend automated tests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Regression and correctness validation.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Containers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Docker / Docker Compose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Repeatable local infrastructure.</w:t>
            </w:r>
          </w:p>
        </w:tc>
      </w:tr>
    </w:tbl>
    <w:p/>
    <w:p>
      <w:pPr>
        <w:pStyle w:val="Heading1"/>
      </w:pPr>
      <w:r>
        <w:t>11. Data and Storage Architecture</w:t>
      </w:r>
    </w:p>
    <w:p>
      <w:r>
        <w:t>The initial infrastructure deliberately uses PostgreSQL with pgvector as the central datastore. This avoids introducing separate Redis, Qdrant, Neo4j, MinIO, Celery or RabbitMQ services before there is a demonstrated requirement.</w:t>
      </w:r>
    </w:p>
    <w:p>
      <w:pPr>
        <w:pStyle w:val="Heading2"/>
      </w:pPr>
      <w:r>
        <w:t>11.1 Initial Infrastructure</w:t>
      </w:r>
    </w:p>
    <w:p>
      <w:pPr>
        <w:pStyle w:val="ListBullet"/>
        <w:ind w:left="360"/>
      </w:pPr>
      <w:r>
        <w:t>PostgreSQL 16 + pgvector</w:t>
      </w:r>
    </w:p>
    <w:p>
      <w:pPr>
        <w:pStyle w:val="ListBullet"/>
        <w:ind w:left="360"/>
      </w:pPr>
      <w:r>
        <w:t>FastAPI backend</w:t>
      </w:r>
    </w:p>
    <w:p>
      <w:pPr>
        <w:pStyle w:val="ListBullet"/>
        <w:ind w:left="360"/>
      </w:pPr>
      <w:r>
        <w:t>React/Vite frontend</w:t>
      </w:r>
    </w:p>
    <w:p>
      <w:pPr>
        <w:pStyle w:val="Heading2"/>
      </w:pPr>
      <w:r>
        <w:t>11.2 Future Scaling Options</w:t>
      </w:r>
    </w:p>
    <w:p>
      <w:r>
        <w:t>Dedicated vector stores, graph databases, object storage or queueing systems may be introduced later if workload, benchmarks or deployment requirements justify them. Such additions are architectural options, not assumptions.</w:t>
      </w:r>
    </w:p>
    <w:p>
      <w:pPr>
        <w:pStyle w:val="Heading1"/>
      </w:pPr>
      <w:r>
        <w:t>12. AI Provider Architecture</w:t>
      </w:r>
    </w:p>
    <w:p>
      <w:r>
        <w:t>AI access is centralized behind a provider abstraction. RAG, summaries, MCQs, short-answer generation and other learning features should call the shared AI layer rather than embedding provider-specific SDK calls throughout the codebase.</w:t>
      </w:r>
    </w:p>
    <w:p>
      <w:pPr>
        <w:pStyle w:val="Heading2"/>
      </w:pPr>
      <w:r>
        <w:t>12.1 Provider Routing</w:t>
      </w:r>
    </w:p>
    <w:p>
      <w:pPr>
        <w:pStyle w:val="ListBullet"/>
        <w:ind w:left="360"/>
      </w:pPr>
      <w:r>
        <w:t>Primary model/provider can be configured through environment variables.</w:t>
      </w:r>
    </w:p>
    <w:p>
      <w:pPr>
        <w:pStyle w:val="ListBullet"/>
        <w:ind w:left="360"/>
      </w:pPr>
      <w:r>
        <w:t>Fallback models can be configured without changing feature code.</w:t>
      </w:r>
    </w:p>
    <w:p>
      <w:pPr>
        <w:pStyle w:val="ListBullet"/>
        <w:ind w:left="360"/>
      </w:pPr>
      <w:r>
        <w:t>Transient provider failures can be handled with bounded retry/fallback logic.</w:t>
      </w:r>
    </w:p>
    <w:p>
      <w:pPr>
        <w:pStyle w:val="ListBullet"/>
        <w:ind w:left="360"/>
      </w:pPr>
      <w:r>
        <w:t>Provider-specific error metadata should be retained for correct classification.</w:t>
      </w:r>
    </w:p>
    <w:p>
      <w:pPr>
        <w:pStyle w:val="ListBullet"/>
        <w:ind w:left="360"/>
      </w:pPr>
      <w:r>
        <w:t>API credentials remain server-side and are never exposed to the frontend.</w:t>
      </w:r>
    </w:p>
    <w:p>
      <w:pPr>
        <w:pStyle w:val="Heading2"/>
      </w:pPr>
      <w:r>
        <w:t>12.2 Free-Tier Reliability Lesson</w:t>
      </w:r>
    </w:p>
    <w:p>
      <w:r>
        <w:t>Testing with free OpenRouter models demonstrated that a valid API key can still receive HTTP 429 responses when an upstream shared free-model pool is rate-limited. The application should therefore avoid blindly retrying the same exhausted chain multiple times. This is a reliability concern, not evidence that the document/RAG architecture is incorrect.</w:t>
      </w:r>
    </w:p>
    <w:p>
      <w:pPr>
        <w:pStyle w:val="Heading1"/>
      </w:pPr>
      <w:r>
        <w:t>13. Frontend and User Experience</w:t>
      </w:r>
    </w:p>
    <w:p>
      <w:r>
        <w:t>The intended interface follows a modern dark AI-product aesthetic while remaining practical and readable. The visual language is informed by existing AI/RAG products but is being rebuilt as an original implementation.</w:t>
      </w:r>
    </w:p>
    <w:p>
      <w:pPr>
        <w:pStyle w:val="ListBullet"/>
        <w:ind w:left="360"/>
      </w:pPr>
      <w:r>
        <w:t>Dashboard and workspace navigation.</w:t>
      </w:r>
    </w:p>
    <w:p>
      <w:pPr>
        <w:pStyle w:val="ListBullet"/>
        <w:ind w:left="360"/>
      </w:pPr>
      <w:r>
        <w:t>Document upload and document cards/list.</w:t>
      </w:r>
    </w:p>
    <w:p>
      <w:pPr>
        <w:pStyle w:val="ListBullet"/>
        <w:ind w:left="360"/>
      </w:pPr>
      <w:r>
        <w:t>Processing status and meaningful loading/error states.</w:t>
      </w:r>
    </w:p>
    <w:p>
      <w:pPr>
        <w:pStyle w:val="ListBullet"/>
        <w:ind w:left="360"/>
      </w:pPr>
      <w:r>
        <w:t>Document viewer.</w:t>
      </w:r>
    </w:p>
    <w:p>
      <w:pPr>
        <w:pStyle w:val="ListBullet"/>
        <w:ind w:left="360"/>
      </w:pPr>
      <w:r>
        <w:t>AI chat workspace.</w:t>
      </w:r>
    </w:p>
    <w:p>
      <w:pPr>
        <w:pStyle w:val="ListBullet"/>
        <w:ind w:left="360"/>
      </w:pPr>
      <w:r>
        <w:t>Citation and evidence panel.</w:t>
      </w:r>
    </w:p>
    <w:p>
      <w:pPr>
        <w:pStyle w:val="ListBullet"/>
        <w:ind w:left="360"/>
      </w:pPr>
      <w:r>
        <w:t>Summary and insight views.</w:t>
      </w:r>
    </w:p>
    <w:p>
      <w:pPr>
        <w:pStyle w:val="ListBullet"/>
        <w:ind w:left="360"/>
      </w:pPr>
      <w:r>
        <w:t>Learning and assessment areas.</w:t>
      </w:r>
    </w:p>
    <w:p>
      <w:pPr>
        <w:pStyle w:val="ListBullet"/>
        <w:ind w:left="360"/>
      </w:pPr>
      <w:r>
        <w:t>History and settings.</w:t>
      </w:r>
    </w:p>
    <w:p>
      <w:pPr>
        <w:pStyle w:val="ListBullet"/>
        <w:ind w:left="360"/>
      </w:pPr>
      <w:r>
        <w:t>Responsive layouts and subtle professional animations.</w:t>
      </w:r>
    </w:p>
    <w:p>
      <w:r>
        <w:t>A key future interaction is source navigation: selecting a citation should take the student to the relevant page, slide, text span or visual region where the evidence originated.</w:t>
      </w:r>
    </w:p>
    <w:p>
      <w:pPr>
        <w:pStyle w:val="Heading1"/>
      </w:pPr>
      <w:r>
        <w:t>14. Security, Reliability and Failure Handling</w:t>
      </w:r>
    </w:p>
    <w:p>
      <w:pPr>
        <w:pStyle w:val="ListBullet"/>
        <w:ind w:left="360"/>
      </w:pPr>
      <w:r>
        <w:t>API keys are server-side environment variables and must not be committed to source control.</w:t>
      </w:r>
    </w:p>
    <w:p>
      <w:pPr>
        <w:pStyle w:val="ListBullet"/>
        <w:ind w:left="360"/>
      </w:pPr>
      <w:r>
        <w:t>The system should avoid logging secrets or authorization headers.</w:t>
      </w:r>
    </w:p>
    <w:p>
      <w:pPr>
        <w:pStyle w:val="ListBullet"/>
        <w:ind w:left="360"/>
      </w:pPr>
      <w:r>
        <w:t>Uploaded document versions should remain immutable once processed.</w:t>
      </w:r>
    </w:p>
    <w:p>
      <w:pPr>
        <w:pStyle w:val="ListBullet"/>
        <w:ind w:left="360"/>
      </w:pPr>
      <w:r>
        <w:t>Invalid provenance combinations, invalid bounding boxes and invalid element relationships should be rejected.</w:t>
      </w:r>
    </w:p>
    <w:p>
      <w:pPr>
        <w:pStyle w:val="ListBullet"/>
        <w:ind w:left="360"/>
      </w:pPr>
      <w:r>
        <w:t>Provider errors should be classified rather than treated as one generic failure.</w:t>
      </w:r>
    </w:p>
    <w:p>
      <w:pPr>
        <w:pStyle w:val="ListBullet"/>
        <w:ind w:left="360"/>
      </w:pPr>
      <w:r>
        <w:t>AI-generated interpretations must not overwrite canonical source evidence.</w:t>
      </w:r>
    </w:p>
    <w:p>
      <w:pPr>
        <w:pStyle w:val="ListBullet"/>
        <w:ind w:left="360"/>
      </w:pPr>
      <w:r>
        <w:t>Processing failures should produce explicit document/version processing states.</w:t>
      </w:r>
    </w:p>
    <w:p>
      <w:pPr>
        <w:pStyle w:val="ListBullet"/>
        <w:ind w:left="360"/>
      </w:pPr>
      <w:r>
        <w:t>The application should degrade gracefully when a provider is temporarily unavailable.</w:t>
      </w:r>
    </w:p>
    <w:p>
      <w:pPr>
        <w:pStyle w:val="Heading1"/>
      </w:pPr>
      <w:r>
        <w:t>15. Testing and Validation Strategy</w:t>
      </w:r>
    </w:p>
    <w:p>
      <w:pPr>
        <w:pStyle w:val="Heading2"/>
      </w:pPr>
      <w:r>
        <w:t>15.1 Unit Testing</w:t>
      </w:r>
    </w:p>
    <w:p>
      <w:pPr>
        <w:pStyle w:val="ListBullet"/>
        <w:ind w:left="360"/>
      </w:pPr>
      <w:r>
        <w:t>Parser behaviour.</w:t>
      </w:r>
    </w:p>
    <w:p>
      <w:pPr>
        <w:pStyle w:val="ListBullet"/>
        <w:ind w:left="360"/>
      </w:pPr>
      <w:r>
        <w:t>Evidence creation.</w:t>
      </w:r>
    </w:p>
    <w:p>
      <w:pPr>
        <w:pStyle w:val="ListBullet"/>
        <w:ind w:left="360"/>
      </w:pPr>
      <w:r>
        <w:t>Source-address generation.</w:t>
      </w:r>
    </w:p>
    <w:p>
      <w:pPr>
        <w:pStyle w:val="ListBullet"/>
        <w:ind w:left="360"/>
      </w:pPr>
      <w:r>
        <w:t>Chunking.</w:t>
      </w:r>
    </w:p>
    <w:p>
      <w:pPr>
        <w:pStyle w:val="ListBullet"/>
        <w:ind w:left="360"/>
      </w:pPr>
      <w:r>
        <w:t>Retrieval scoring.</w:t>
      </w:r>
    </w:p>
    <w:p>
      <w:pPr>
        <w:pStyle w:val="ListBullet"/>
        <w:ind w:left="360"/>
      </w:pPr>
      <w:r>
        <w:t>AI provider routing.</w:t>
      </w:r>
    </w:p>
    <w:p>
      <w:pPr>
        <w:pStyle w:val="ListBullet"/>
        <w:ind w:left="360"/>
      </w:pPr>
      <w:r>
        <w:t>Learning content validation.</w:t>
      </w:r>
    </w:p>
    <w:p>
      <w:pPr>
        <w:pStyle w:val="Heading2"/>
      </w:pPr>
      <w:r>
        <w:t>15.2 Integration Testing</w:t>
      </w:r>
    </w:p>
    <w:p>
      <w:pPr>
        <w:pStyle w:val="ListBullet"/>
        <w:ind w:left="360"/>
      </w:pPr>
      <w:r>
        <w:t>Upload → document → version → parser → pages/slides → elements → evidence.</w:t>
      </w:r>
    </w:p>
    <w:p>
      <w:pPr>
        <w:pStyle w:val="ListBullet"/>
        <w:ind w:left="360"/>
      </w:pPr>
      <w:r>
        <w:t>Database persistence and migration checks.</w:t>
      </w:r>
    </w:p>
    <w:p>
      <w:pPr>
        <w:pStyle w:val="ListBullet"/>
        <w:ind w:left="360"/>
      </w:pPr>
      <w:r>
        <w:t>API-to-database interactions.</w:t>
      </w:r>
    </w:p>
    <w:p>
      <w:pPr>
        <w:pStyle w:val="ListBullet"/>
        <w:ind w:left="360"/>
      </w:pPr>
      <w:r>
        <w:t>Retrieval-to-AI flows.</w:t>
      </w:r>
    </w:p>
    <w:p>
      <w:pPr>
        <w:pStyle w:val="ListBullet"/>
        <w:ind w:left="360"/>
      </w:pPr>
      <w:r>
        <w:t>Citation resolution.</w:t>
      </w:r>
    </w:p>
    <w:p>
      <w:pPr>
        <w:pStyle w:val="Heading2"/>
      </w:pPr>
      <w:r>
        <w:t>15.3 Grounding Tests</w:t>
      </w:r>
    </w:p>
    <w:p>
      <w:pPr>
        <w:pStyle w:val="ListBullet"/>
        <w:ind w:left="360"/>
      </w:pPr>
      <w:r>
        <w:t>Questions with known supporting evidence should retrieve the expected source.</w:t>
      </w:r>
    </w:p>
    <w:p>
      <w:pPr>
        <w:pStyle w:val="ListBullet"/>
        <w:ind w:left="360"/>
      </w:pPr>
      <w:r>
        <w:t>Citations must resolve to real evidence records.</w:t>
      </w:r>
    </w:p>
    <w:p>
      <w:pPr>
        <w:pStyle w:val="ListBullet"/>
        <w:ind w:left="360"/>
      </w:pPr>
      <w:r>
        <w:t>Unsupported questions should not be answered as though evidence exists.</w:t>
      </w:r>
    </w:p>
    <w:p>
      <w:pPr>
        <w:pStyle w:val="ListBullet"/>
        <w:ind w:left="360"/>
      </w:pPr>
      <w:r>
        <w:t>Visual evidence should resolve to the expected element/region when supported.</w:t>
      </w:r>
    </w:p>
    <w:p>
      <w:pPr>
        <w:pStyle w:val="Heading2"/>
      </w:pPr>
      <w:r>
        <w:t>15.4 Regression Principle</w:t>
      </w:r>
    </w:p>
    <w:p>
      <w:r>
        <w:t>Every accepted milestone should leave the repository in a tested state so that subsequent changes can be made without repeatedly reopening already-settled architectural questions.</w:t>
      </w:r>
    </w:p>
    <w:p>
      <w:pPr>
        <w:pStyle w:val="Heading1"/>
      </w:pPr>
      <w:r>
        <w:t>16. Development Methodology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7365D"/>
              </w:rPr>
              <w:t>Working Model</w:t>
              <w:br/>
            </w:r>
            <w:r>
              <w:rPr>
                <w:sz w:val="20"/>
              </w:rPr>
              <w:t>DESIGN → IMPLEMENT → TEST → FIX → ACCEPT → NEXT</w:t>
            </w:r>
          </w:p>
        </w:tc>
      </w:tr>
    </w:tbl>
    <w:p/>
    <w:p>
      <w:r>
        <w:t>The development process intentionally balances speed and correctness. Design decisions are reviewed before implementation, but once a milestone is sufficiently specified, the team moves to implementation rather than repeatedly auditing settled decisions.</w:t>
      </w:r>
    </w:p>
    <w:p>
      <w:pPr>
        <w:pStyle w:val="ListNumber"/>
      </w:pPr>
      <w:r>
        <w:t>Understand the requirement and define the smallest correct scope.</w:t>
      </w:r>
    </w:p>
    <w:p>
      <w:pPr>
        <w:pStyle w:val="ListNumber"/>
      </w:pPr>
      <w:r>
        <w:t>Design the relevant component and identify important invariants.</w:t>
      </w:r>
    </w:p>
    <w:p>
      <w:pPr>
        <w:pStyle w:val="ListNumber"/>
      </w:pPr>
      <w:r>
        <w:t>Review the design for product correctness and unnecessary complexity.</w:t>
      </w:r>
    </w:p>
    <w:p>
      <w:pPr>
        <w:pStyle w:val="ListNumber"/>
      </w:pPr>
      <w:r>
        <w:t>Implement the component.</w:t>
      </w:r>
    </w:p>
    <w:p>
      <w:pPr>
        <w:pStyle w:val="ListNumber"/>
      </w:pPr>
      <w:r>
        <w:t>Run automated tests and targeted functional verification.</w:t>
      </w:r>
    </w:p>
    <w:p>
      <w:pPr>
        <w:pStyle w:val="ListNumber"/>
      </w:pPr>
      <w:r>
        <w:t>Fix concrete failures.</w:t>
      </w:r>
    </w:p>
    <w:p>
      <w:pPr>
        <w:pStyle w:val="ListNumber"/>
      </w:pPr>
      <w:r>
        <w:t>Accept the milestone once its acceptance criteria are met.</w:t>
      </w:r>
    </w:p>
    <w:p>
      <w:pPr>
        <w:pStyle w:val="ListNumber"/>
      </w:pPr>
      <w:r>
        <w:t>Create a clean version-control checkpoint.</w:t>
      </w:r>
    </w:p>
    <w:p>
      <w:pPr>
        <w:pStyle w:val="ListNumber"/>
      </w:pPr>
      <w:r>
        <w:t>Move to the next dependency in the roadmap.</w:t>
      </w:r>
    </w:p>
    <w:p>
      <w:r>
        <w:t>The working pattern is intentionally incremental. The project should not be slowed by implementing speculative infrastructure before the corresponding product need is demonstrated.</w:t>
      </w:r>
    </w:p>
    <w:p>
      <w:pPr>
        <w:pStyle w:val="Heading1"/>
      </w:pPr>
      <w:r>
        <w:t>17.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1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Scope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Foundation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Completed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Repository, frontend, backend, PostgreSQL, pgvector, Docker and baseline tests.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Evidence Model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Completed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Documents, versions, pages/slides, elements, relationships, assets and evidence schema.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 Ingestion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Current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PDF, DOCX, PPTX and TXT parsing; orchestration; evidence generation; APIs and tests.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Chunking &amp; Indexing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Next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Evidence-aware chunking, embeddings, pgvector and lexical indexing.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Hybrid Retrieval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Planned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Semantic + lexical retrieval with measurable quality checks.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Grounded RAG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Planned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Validated evidence → grounded context → answer + citations.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Citation UX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Planned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 viewer integration and source navigation/highlighting.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Multimodal Understanding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Planned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Tables, figures, charts, diagrams, equations and visual regions.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Learning Engine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Planned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Summaries, insights, MCQs, short answers, flashcards and assessments.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Study Experience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Planned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Study Mode and guided learning workflows.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Gamification &amp; Analytics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Planned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XP, badges, streaks, progress and learning analytics.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Advanced AI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Voice teacher, adaptive learning, deeper graph reasoning and scalable infrastructure.</w:t>
            </w:r>
          </w:p>
        </w:tc>
      </w:tr>
    </w:tbl>
    <w:p/>
    <w:p>
      <w:pPr>
        <w:pStyle w:val="Heading1"/>
      </w:pPr>
      <w:r>
        <w:t>18. Current Project Status</w:t>
      </w:r>
    </w:p>
    <w:p>
      <w:r>
        <w:t>The project has moved beyond the initial architecture stage. The foundation and evidence/provenance database schema have been implemented and validated. The current engineering focus is document ingestion.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49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Current State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Repository / foundation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Established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Frontend scaffold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Established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Backend scaffold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Established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PostgreSQL + pgvector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Operational foundation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Evidence schema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Implemented and migration-validated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Document parsers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 progress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Evidence generation from uploaded files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 progress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Chunking / embeddings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Not yet the current milestone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Hybrid RAG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Not yet the current milestone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Learning features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Future layer</w:t>
            </w:r>
          </w:p>
        </w:tc>
      </w:tr>
    </w:tbl>
    <w:p/>
    <w:p>
      <w:r>
        <w:t>The immediate objective is to complete ingestion correctly so that downstream retrieval and learning features can rely on a stable, structured evidence layer.</w:t>
      </w:r>
    </w:p>
    <w:p>
      <w:pPr>
        <w:pStyle w:val="Heading1"/>
      </w:pPr>
      <w:r>
        <w:t>19. Design Principles and Non-Goals</w:t>
      </w:r>
    </w:p>
    <w:p>
      <w:pPr>
        <w:pStyle w:val="Heading2"/>
      </w:pPr>
      <w:r>
        <w:t>19.1 Design Principles</w:t>
      </w:r>
    </w:p>
    <w:p>
      <w:pPr>
        <w:pStyle w:val="ListBullet"/>
        <w:ind w:left="360"/>
      </w:pPr>
      <w:r>
        <w:t>Evidence before generation.</w:t>
      </w:r>
    </w:p>
    <w:p>
      <w:pPr>
        <w:pStyle w:val="ListBullet"/>
        <w:ind w:left="360"/>
      </w:pPr>
      <w:r>
        <w:t>Preserve provenance as early as possible.</w:t>
      </w:r>
    </w:p>
    <w:p>
      <w:pPr>
        <w:pStyle w:val="ListBullet"/>
        <w:ind w:left="360"/>
      </w:pPr>
      <w:r>
        <w:t>Keep source documents and versions immutable.</w:t>
      </w:r>
    </w:p>
    <w:p>
      <w:pPr>
        <w:pStyle w:val="ListBullet"/>
        <w:ind w:left="360"/>
      </w:pPr>
      <w:r>
        <w:t>Prefer deterministic extraction for canonical evidence.</w:t>
      </w:r>
    </w:p>
    <w:p>
      <w:pPr>
        <w:pStyle w:val="ListBullet"/>
        <w:ind w:left="360"/>
      </w:pPr>
      <w:r>
        <w:t>Separate source evidence from model interpretation.</w:t>
      </w:r>
    </w:p>
    <w:p>
      <w:pPr>
        <w:pStyle w:val="ListBullet"/>
        <w:ind w:left="360"/>
      </w:pPr>
      <w:r>
        <w:t>Build multimodal structure rather than flattening content.</w:t>
      </w:r>
    </w:p>
    <w:p>
      <w:pPr>
        <w:pStyle w:val="ListBullet"/>
        <w:ind w:left="360"/>
      </w:pPr>
      <w:r>
        <w:t>Keep AI provider integration centralized.</w:t>
      </w:r>
    </w:p>
    <w:p>
      <w:pPr>
        <w:pStyle w:val="ListBullet"/>
        <w:ind w:left="360"/>
      </w:pPr>
      <w:r>
        <w:t>Prefer measurable complexity over fashionable infrastructure.</w:t>
      </w:r>
    </w:p>
    <w:p>
      <w:pPr>
        <w:pStyle w:val="ListBullet"/>
        <w:ind w:left="360"/>
      </w:pPr>
      <w:r>
        <w:t>Reuse the same evidence engine across learning features.</w:t>
      </w:r>
    </w:p>
    <w:p>
      <w:pPr>
        <w:pStyle w:val="ListBullet"/>
        <w:ind w:left="360"/>
      </w:pPr>
      <w:r>
        <w:t>Test concrete behaviour at every accepted milestone.</w:t>
      </w:r>
    </w:p>
    <w:p>
      <w:pPr>
        <w:pStyle w:val="Heading2"/>
      </w:pPr>
      <w:r>
        <w:t>19.2 Non-Goals for the Initial Build</w:t>
      </w:r>
    </w:p>
    <w:p>
      <w:pPr>
        <w:pStyle w:val="ListBullet"/>
        <w:ind w:left="360"/>
      </w:pPr>
      <w:r>
        <w:t>Building a large distributed microservices platform before it is required.</w:t>
      </w:r>
    </w:p>
    <w:p>
      <w:pPr>
        <w:pStyle w:val="ListBullet"/>
        <w:ind w:left="360"/>
      </w:pPr>
      <w:r>
        <w:t>Adding a graph database solely because the project contains relationships.</w:t>
      </w:r>
    </w:p>
    <w:p>
      <w:pPr>
        <w:pStyle w:val="ListBullet"/>
        <w:ind w:left="360"/>
      </w:pPr>
      <w:r>
        <w:t>Adding a dedicated vector database before pgvector is shown to be insufficient.</w:t>
      </w:r>
    </w:p>
    <w:p>
      <w:pPr>
        <w:pStyle w:val="ListBullet"/>
        <w:ind w:left="360"/>
      </w:pPr>
      <w:r>
        <w:t>Adding GPU-heavy local inference as a prerequisite.</w:t>
      </w:r>
    </w:p>
    <w:p>
      <w:pPr>
        <w:pStyle w:val="ListBullet"/>
        <w:ind w:left="360"/>
      </w:pPr>
      <w:r>
        <w:t>Treating LLM-generated statements as canonical source evidence.</w:t>
      </w:r>
    </w:p>
    <w:p>
      <w:pPr>
        <w:pStyle w:val="ListBullet"/>
        <w:ind w:left="360"/>
      </w:pPr>
      <w:r>
        <w:t>Implementing all gamification and advanced AI features before the evidence and RAG foundation is stable.</w:t>
      </w:r>
    </w:p>
    <w:p>
      <w:pPr>
        <w:pStyle w:val="Heading1"/>
      </w:pPr>
      <w:r>
        <w:t>20. Final Product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17365D"/>
              </w:rPr>
              <w:t>One-Sentence Definition</w:t>
              <w:br/>
            </w:r>
            <w:r>
              <w:rPr>
                <w:sz w:val="20"/>
              </w:rPr>
              <w:t>A multimodal, evidence-grounded document intelligence and learning platform that transforms academic documents into a traceable AI study environment with citation-backed Q&amp;A, summaries, visual understanding, assessments and personalized learning.</w:t>
            </w:r>
          </w:p>
        </w:tc>
      </w:tr>
    </w:tbl>
    <w:p/>
    <w:p>
      <w:r>
        <w:t>The platform's long-term value comes from combining three layers: a structured multimodal document representation, a reliable evidence-grounded AI engine, and a student learning experience built on top of the same trusted evidence.</w:t>
      </w:r>
    </w:p>
    <w:p>
      <w:r>
        <w:t>The implementation strategy is deliberately incremental: establish the evidence foundation, make ingestion reliable, build retrieval and grounded RAG, then progressively add multimodal reasoning and student learning capabilities.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Multimodal Document Intelligence &amp; Grounded Learning Platform  •  Project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