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087"/>
          <w:sz w:val="32"/>
        </w:rPr>
        <w:t>GreenMind AI: An Explainable Multi-Agent Framework for Sustainable Cloud Resource Optimization Using Machine Learning and Digital Twin Simulation</w:t>
      </w:r>
    </w:p>
    <w:p>
      <w:pPr>
        <w:jc w:val="center"/>
      </w:pPr>
      <w:r>
        <w:rPr>
          <w:rFonts w:ascii="Times New Roman" w:hAnsi="Times New Roman"/>
          <w:i/>
          <w:sz w:val="22"/>
        </w:rPr>
        <w:t>Anonymous Submission Draft</w:t>
        <w:br/>
        <w:t>[Author 1 Name], [Author 2 Name], [Author 3 Name]</w:t>
        <w:br/>
        <w:t>[Institution Name], [City, Country] | [contact@institution.edu]</w:t>
      </w:r>
    </w:p>
    <w:p>
      <w:pPr>
        <w:pStyle w:val="Heading1"/>
        <w:spacing w:before="200" w:after="80"/>
        <w:jc w:val="left"/>
      </w:pPr>
      <w:r>
        <w:rPr>
          <w:rFonts w:ascii="Times New Roman" w:hAnsi="Times New Roman"/>
          <w:color w:val="003087"/>
        </w:rPr>
        <w:t>Abstract</w:t>
      </w:r>
    </w:p>
    <w:p>
      <w:pPr>
        <w:spacing w:after="80"/>
        <w:jc w:val="both"/>
      </w:pPr>
      <w:r>
        <w:rPr>
          <w:rFonts w:ascii="Times New Roman" w:hAnsi="Times New Roman"/>
          <w:b w:val="0"/>
          <w:i/>
          <w:sz w:val="20"/>
        </w:rPr>
        <w:t>Modern cloud operations require simultaneous optimization of resource utilization, infrastructure cost, and environmental footprint. We present GreenMind AI, an open-source decision-support prototype integrating five one-hour-ahead gradient-boosted machine learning forecasters, a five-domain multi-agent analysis engine, deterministic conflict arbitration, a non-destructive Digital Twin simulator, and an eight-tool explainable AI copilot. Evaluation on a 60-day synthetic dataset (N_train=4,604; N_test=1,152; strict chronological split) demonstrates MAE improvements of 25.4%–45.4% over a one-hour persistence baseline. A technical audit corrects a baseline horizon discrepancy (15-min vs. 1-hour) and documents synthetic data provenance, unverified live connectors, a carbon scale mismatch in the recursive wrapper, and the HTTP 501 safety guard.</w:t>
      </w:r>
    </w:p>
    <w:p>
      <w:pPr>
        <w:spacing w:after="80"/>
        <w:jc w:val="both"/>
      </w:pPr>
      <w:r>
        <w:rPr>
          <w:rFonts w:ascii="Times New Roman" w:hAnsi="Times New Roman"/>
          <w:b w:val="0"/>
          <w:i/>
          <w:sz w:val="20"/>
        </w:rPr>
        <w:t>Keywords: cloud computing; workload forecasting; gradient boosting; carbon-aware computing; multi-agent systems; digital twin; GreenOps; decision support.</w:t>
      </w:r>
    </w:p>
    <w:p>
      <w:pPr>
        <w:pStyle w:val="Heading1"/>
        <w:spacing w:before="200" w:after="80"/>
        <w:jc w:val="left"/>
      </w:pPr>
      <w:r>
        <w:rPr>
          <w:rFonts w:ascii="Times New Roman" w:hAnsi="Times New Roman"/>
          <w:color w:val="003087"/>
        </w:rPr>
        <w:t>1. Introduction</w:t>
      </w:r>
    </w:p>
    <w:p>
      <w:pPr>
        <w:spacing w:after="80"/>
        <w:jc w:val="both"/>
      </w:pPr>
      <w:r>
        <w:rPr>
          <w:rFonts w:ascii="Times New Roman" w:hAnsi="Times New Roman"/>
          <w:b w:val="0"/>
          <w:i w:val="0"/>
          <w:sz w:val="20"/>
        </w:rPr>
        <w:t>Global cloud infrastructure consumed ~200–250 TWh in 2023 (~1% global electricity demand). Proactive workload forecasting supports GreenOps and FinOps by enabling right-sizing, autoscaling, and carbon-aware scheduling. However, high predictive accuracy on historical data does not guarantee realized savings, carbon abatement, or SLO preservation in production [3, 8]. GreenMind AI bridges this gap with a unified prototype combining multi-metric forecasting, five-domain multi-agent orchestration, deterministic conflict resolution, Digital Twin simulation, and an eight-tool AI copilot.</w:t>
      </w:r>
    </w:p>
    <w:p>
      <w:pPr>
        <w:pStyle w:val="Heading1"/>
        <w:spacing w:before="200" w:after="80"/>
        <w:jc w:val="left"/>
      </w:pPr>
      <w:r>
        <w:rPr>
          <w:rFonts w:ascii="Times New Roman" w:hAnsi="Times New Roman"/>
          <w:color w:val="003087"/>
        </w:rPr>
        <w:t>2. Background and Related Work</w:t>
      </w:r>
    </w:p>
    <w:p>
      <w:pPr>
        <w:spacing w:after="80"/>
        <w:jc w:val="both"/>
      </w:pPr>
      <w:r>
        <w:rPr>
          <w:rFonts w:ascii="Times New Roman" w:hAnsi="Times New Roman"/>
          <w:b w:val="0"/>
          <w:i w:val="0"/>
          <w:sz w:val="20"/>
        </w:rPr>
        <w:t>Calheiros et al. [7] demonstrated ARIMA-based proactive cloud provisioning. Friedman's Gradient Boosting Machine [1] constructs additive tree models suited to structured lag features. Rossi et al. [3] showed probabilistic LSTMs miss operational uncertainty and degrade under cross-provider transfer. Bergmeir et al. [2] established chronological holdout as standard practice. Henderson et al. [4] and Lannelongue et al. [5] formalized ML carbon accounting. Radovanovic et al. [6] deployed carbon-aware scheduling at Google datacenters via day-ahead grid predictions. Dodge et al. [8] measured operational carbon intensity across cloud instances.</w:t>
      </w:r>
    </w:p>
    <w:p>
      <w:pPr>
        <w:pStyle w:val="Heading1"/>
        <w:spacing w:before="200" w:after="80"/>
        <w:jc w:val="left"/>
      </w:pPr>
      <w:r>
        <w:rPr>
          <w:rFonts w:ascii="Times New Roman" w:hAnsi="Times New Roman"/>
          <w:color w:val="003087"/>
        </w:rPr>
        <w:t>3. System Architecture and Implementation</w:t>
      </w:r>
    </w:p>
    <w:p>
      <w:r>
        <w:drawing>
          <wp:inline xmlns:a="http://schemas.openxmlformats.org/drawingml/2006/main" xmlns:pic="http://schemas.openxmlformats.org/drawingml/2006/picture">
            <wp:extent cx="5029200" cy="1849392"/>
            <wp:docPr id="1" name="Picture 1"/>
            <wp:cNvGraphicFramePr>
              <a:graphicFrameLocks noChangeAspect="1"/>
            </wp:cNvGraphicFramePr>
            <a:graphic>
              <a:graphicData uri="http://schemas.openxmlformats.org/drawingml/2006/picture">
                <pic:pic>
                  <pic:nvPicPr>
                    <pic:cNvPr id="0" name="greenmind_architecture.png"/>
                    <pic:cNvPicPr/>
                  </pic:nvPicPr>
                  <pic:blipFill>
                    <a:blip r:embed="rId9"/>
                    <a:stretch>
                      <a:fillRect/>
                    </a:stretch>
                  </pic:blipFill>
                  <pic:spPr>
                    <a:xfrm>
                      <a:off x="0" y="0"/>
                      <a:ext cx="5029200" cy="1849392"/>
                    </a:xfrm>
                    <a:prstGeom prst="rect"/>
                  </pic:spPr>
                </pic:pic>
              </a:graphicData>
            </a:graphic>
          </wp:inline>
        </w:drawing>
      </w:r>
    </w:p>
    <w:p>
      <w:pPr>
        <w:jc w:val="center"/>
      </w:pPr>
      <w:r>
        <w:rPr>
          <w:i/>
          <w:sz w:val="18"/>
        </w:rPr>
        <w:t>Figure 1. GreenMind AI pipeline architecture: telemetry ingestion → ML forecasting → multi-agent analysis → conflict resolution → Digital Twin simulation → operator decision support.</w:t>
      </w:r>
    </w:p>
    <w:p>
      <w:pPr>
        <w:pStyle w:val="Heading2"/>
        <w:spacing w:before="120" w:after="80"/>
        <w:jc w:val="left"/>
      </w:pPr>
      <w:r>
        <w:rPr>
          <w:rFonts w:ascii="Times New Roman" w:hAnsi="Times New Roman"/>
          <w:color w:val="003087"/>
        </w:rPr>
        <w:t>3.1 Telemetry Ingestion and Service Layer</w:t>
      </w:r>
    </w:p>
    <w:p>
      <w:pPr>
        <w:spacing w:after="80"/>
        <w:jc w:val="both"/>
      </w:pPr>
      <w:r>
        <w:rPr>
          <w:rFonts w:ascii="Times New Roman" w:hAnsi="Times New Roman"/>
          <w:b w:val="0"/>
          <w:i w:val="0"/>
          <w:sz w:val="20"/>
        </w:rPr>
        <w:t>FastAPI (Python 3.12; SQLite/PostgreSQL) ingests five 15-min signals: CPU (%), memory (%), network (Mbps), cost (USD/h), carbon proxy (gCO₂/15-min). AWS CloudWatch, Azure Monitor REST, GCP Cloud Monitoring v3 connectors fall back to synthetic generator when credentials absent. Credentials scoped per authenticated user, encrypted in-memory via credential_crypto.py.</w:t>
      </w:r>
    </w:p>
    <w:p>
      <w:pPr>
        <w:pStyle w:val="Heading2"/>
        <w:spacing w:before="120" w:after="80"/>
        <w:jc w:val="left"/>
      </w:pPr>
      <w:r>
        <w:rPr>
          <w:rFonts w:ascii="Times New Roman" w:hAnsi="Times New Roman"/>
          <w:color w:val="003087"/>
        </w:rPr>
        <w:t>3.2 Multi-Metric ML Predictor</w:t>
      </w:r>
    </w:p>
    <w:p>
      <w:pPr>
        <w:spacing w:after="80"/>
        <w:jc w:val="both"/>
      </w:pPr>
      <w:r>
        <w:rPr>
          <w:rFonts w:ascii="Times New Roman" w:hAnsi="Times New Roman"/>
          <w:b w:val="0"/>
          <w:i w:val="0"/>
          <w:sz w:val="20"/>
        </w:rPr>
        <w:t>Five GradientBoostingRegressor models: 150 estimators, depth 3, lr=0.08, seed 42. Strictly backward-looking features: current value y_t, hour, day, rolling mean μ_{t,4}, σ_{t,4}. Cost: CPU, memory, cost, hour, day. Carbon: grid intensity (gCO₂/kWh), hour, day, CPU. Anomaly detection: z-score &gt; 2.5. Training time: ~6.4 s.</w:t>
      </w:r>
    </w:p>
    <w:p>
      <w:pPr>
        <w:pStyle w:val="Heading2"/>
        <w:spacing w:before="120" w:after="80"/>
        <w:jc w:val="left"/>
      </w:pPr>
      <w:r>
        <w:rPr>
          <w:rFonts w:ascii="Times New Roman" w:hAnsi="Times New Roman"/>
          <w:color w:val="003087"/>
        </w:rPr>
        <w:t>3.3 Multi-Agent Analysis Engine</w:t>
      </w:r>
    </w:p>
    <w:p>
      <w:pPr>
        <w:spacing w:after="80"/>
        <w:jc w:val="both"/>
      </w:pPr>
      <w:r>
        <w:rPr>
          <w:rFonts w:ascii="Times New Roman" w:hAnsi="Times New Roman"/>
          <w:b w:val="0"/>
          <w:i w:val="0"/>
          <w:sz w:val="20"/>
        </w:rPr>
        <w:t>Five agents in LangGraph StateGraph: CostAgent (right-sizing, Spot/RI), PerformanceAgent (saturation thresholds, 75% trigger), SustainabilityAgent (green windows 01:00–06:00 UTC), SecurityAgent (IAM, TLS, port auditing), ReliabilityAgent (multi-AZ, backup RPO). Graceful sequential fallback with ID deduplication when LangGraph unavailable.</w:t>
      </w:r>
    </w:p>
    <w:p>
      <w:pPr>
        <w:pStyle w:val="Heading2"/>
        <w:spacing w:before="120" w:after="80"/>
        <w:jc w:val="left"/>
      </w:pPr>
      <w:r>
        <w:rPr>
          <w:rFonts w:ascii="Times New Roman" w:hAnsi="Times New Roman"/>
          <w:color w:val="003087"/>
        </w:rPr>
        <w:t>3.4 Deterministic Conflict Resolution</w:t>
      </w:r>
    </w:p>
    <w:p>
      <w:pPr>
        <w:spacing w:after="80"/>
        <w:jc w:val="both"/>
      </w:pPr>
      <w:r>
        <w:rPr>
          <w:rFonts w:ascii="Times New Roman" w:hAnsi="Times New Roman"/>
          <w:b w:val="0"/>
          <w:i w:val="0"/>
          <w:sz w:val="20"/>
        </w:rPr>
        <w:t>Three arbitration rules: Performance vs. Cost (right-size + autoscaling, 60-s buffer, confidence 0.88); Reliability vs. Cost (downsize + failover, confidence 0.92); Carbon deferral vs. Execution (green windows, confidence 0.87). Each emits a ConflictResolutionItem with full audit record.</w:t>
      </w:r>
    </w:p>
    <w:p>
      <w:pPr>
        <w:pStyle w:val="Heading2"/>
        <w:spacing w:before="120" w:after="80"/>
        <w:jc w:val="left"/>
      </w:pPr>
      <w:r>
        <w:rPr>
          <w:rFonts w:ascii="Times New Roman" w:hAnsi="Times New Roman"/>
          <w:color w:val="003087"/>
        </w:rPr>
        <w:t>3.5 Digital Twin Simulator</w:t>
      </w:r>
    </w:p>
    <w:p>
      <w:pPr>
        <w:spacing w:after="80"/>
        <w:jc w:val="both"/>
      </w:pPr>
      <w:r>
        <w:rPr>
          <w:rFonts w:ascii="Times New Roman" w:hAnsi="Times New Roman"/>
          <w:b w:val="0"/>
          <w:i w:val="0"/>
          <w:sz w:val="20"/>
        </w:rPr>
        <w:t>Five non-destructive scenarios: RIGHT_SIZE, SCALE_UP/DOWN, CONSOLIDATE, REGION_MIGRATION (e.g., in-north ~650 gCO₂/kWh → ca-central ~90 gCO₂/kWh). Recomputes Optimization Score (0–100) from state snapshots. All outputs: is_simulated=True, 'SIMULATED / ESTIMATED'.</w:t>
      </w:r>
    </w:p>
    <w:p>
      <w:pPr>
        <w:pStyle w:val="Heading2"/>
        <w:spacing w:before="120" w:after="80"/>
        <w:jc w:val="left"/>
      </w:pPr>
      <w:r>
        <w:rPr>
          <w:rFonts w:ascii="Times New Roman" w:hAnsi="Times New Roman"/>
          <w:color w:val="003087"/>
        </w:rPr>
        <w:t>3.6 AI Copilot and Remediation Boundary</w:t>
      </w:r>
    </w:p>
    <w:p>
      <w:pPr>
        <w:spacing w:after="80"/>
        <w:jc w:val="both"/>
      </w:pPr>
      <w:r>
        <w:rPr>
          <w:rFonts w:ascii="Times New Roman" w:hAnsi="Times New Roman"/>
          <w:b w:val="0"/>
          <w:i w:val="0"/>
          <w:sz w:val="20"/>
        </w:rPr>
        <w:t>Eight grounded tools: get_cloud_metrics, get_history, get_predictions, get_cost_analysis, get_carbon_analysis, get_recommendations, get_cloud_health, run_digital_twin_simulation. Non-dry-run and rollback endpoints return HTTP 501 Not Implemented.</w:t>
      </w:r>
    </w:p>
    <w:p>
      <w:pPr>
        <w:pStyle w:val="Heading1"/>
        <w:spacing w:before="200" w:after="80"/>
        <w:jc w:val="left"/>
      </w:pPr>
      <w:r>
        <w:rPr>
          <w:rFonts w:ascii="Times New Roman" w:hAnsi="Times New Roman"/>
          <w:color w:val="003087"/>
        </w:rPr>
        <w:t>4. Forecasting Methodology and Experimental Setup</w:t>
      </w:r>
    </w:p>
    <w:p>
      <w:pPr>
        <w:pStyle w:val="Heading2"/>
        <w:spacing w:before="120" w:after="80"/>
        <w:jc w:val="left"/>
      </w:pPr>
      <w:r>
        <w:rPr>
          <w:rFonts w:ascii="Times New Roman" w:hAnsi="Times New Roman"/>
          <w:color w:val="003087"/>
        </w:rPr>
        <w:t>4.1 Synthetic Dataset Generation</w:t>
      </w:r>
    </w:p>
    <w:p>
      <w:pPr>
        <w:spacing w:after="80"/>
        <w:jc w:val="both"/>
      </w:pPr>
      <w:r>
        <w:rPr>
          <w:rFonts w:ascii="Times New Roman" w:hAnsi="Times New Roman"/>
          <w:b w:val="0"/>
          <w:i w:val="0"/>
          <w:sz w:val="20"/>
        </w:rPr>
        <w:t>5,760 observations at 15-min intervals, 2026-06-01, seed 42. CPU = clip(35 + 30·sin²((h−7)/24·2π)·W_t + τ_t + ε_t, 2, 98), W_t=0.7 weekends, τ_t∈[0,5]%, ε_t~N(0,16). Memory: [0,8]% drift. Network: 300+400·sin²(·) Mbps. Cost: $0.192·(1+cpu/100·0.5).</w:t>
      </w:r>
    </w:p>
    <w:p>
      <w:pPr>
        <w:pStyle w:val="Heading2"/>
        <w:spacing w:before="120" w:after="80"/>
        <w:jc w:val="left"/>
      </w:pPr>
      <w:r>
        <w:rPr>
          <w:rFonts w:ascii="Times New Roman" w:hAnsi="Times New Roman"/>
          <w:color w:val="003087"/>
        </w:rPr>
        <w:t>4.2 Carbon Target Formulation</w:t>
      </w:r>
    </w:p>
    <w:p>
      <w:pPr>
        <w:spacing w:after="80"/>
        <w:jc w:val="both"/>
      </w:pPr>
      <w:r>
        <w:rPr>
          <w:rFonts w:ascii="Times New Roman" w:hAnsi="Times New Roman"/>
          <w:b w:val="0"/>
          <w:i w:val="0"/>
          <w:sz w:val="20"/>
        </w:rPr>
        <w:t>us-east grid intensity I(h_t): 320–470 gCO₂/kWh. Server power P=0.35 kW, dt=0.25 h. C_t = clip(I(h_t)·P·dt + N(0,25), 0, 500) [gCO₂/15-min]. Excludes dynamic PUE, server power states, Scope 3.</w:t>
      </w:r>
    </w:p>
    <w:p>
      <w:pPr>
        <w:pStyle w:val="Heading2"/>
        <w:spacing w:before="120" w:after="80"/>
        <w:jc w:val="left"/>
      </w:pPr>
      <w:r>
        <w:rPr>
          <w:rFonts w:ascii="Times New Roman" w:hAnsi="Times New Roman"/>
          <w:color w:val="003087"/>
        </w:rPr>
        <w:t>4.3 Chronological Split</w:t>
      </w:r>
    </w:p>
    <w:p>
      <w:pPr>
        <w:spacing w:after="80"/>
        <w:jc w:val="both"/>
      </w:pPr>
      <w:r>
        <w:rPr>
          <w:rFonts w:ascii="Times New Roman" w:hAnsi="Times New Roman"/>
          <w:b w:val="0"/>
          <w:i w:val="0"/>
          <w:sz w:val="20"/>
        </w:rPr>
        <w:t>Targets shifted Δ=4 steps; 5,756 aligned records. 80/20 chronological split: N_train=4,604 (48 days), N_test=1,152 (12 days). No shuffling.</w:t>
      </w:r>
    </w:p>
    <w:p>
      <w:pPr>
        <w:pStyle w:val="Heading2"/>
        <w:spacing w:before="120" w:after="80"/>
        <w:jc w:val="left"/>
      </w:pPr>
      <w:r>
        <w:rPr>
          <w:rFonts w:ascii="Times New Roman" w:hAnsi="Times New Roman"/>
          <w:color w:val="003087"/>
        </w:rPr>
        <w:t>4.4 Baselines and Metrics</w:t>
      </w:r>
    </w:p>
    <w:p>
      <w:pPr>
        <w:spacing w:after="80"/>
        <w:jc w:val="both"/>
      </w:pPr>
      <w:r>
        <w:rPr>
          <w:rFonts w:ascii="Times New Roman" w:hAnsi="Times New Roman"/>
          <w:b w:val="0"/>
          <w:i w:val="0"/>
          <w:sz w:val="20"/>
        </w:rPr>
        <w:t>Persistence: ŷ_{t+4}=y_t. Stored Roll-4: ŷ_{t+1}=μ_{t,4} on unshifted data (N=1,148) — a 15-min prediction. True Roll-4 from origin yields higher error than persistence (CPU: 7.263% vs. 6.500%) due to diurnal lag. Metrics: MAE, RMSE, R², Gain(%)=100·(1−MAE_model/MAE_persist).</w:t>
      </w:r>
    </w:p>
    <w:p>
      <w:pPr>
        <w:pStyle w:val="Heading1"/>
        <w:spacing w:before="200" w:after="80"/>
        <w:jc w:val="left"/>
      </w:pPr>
      <w:r>
        <w:rPr>
          <w:rFonts w:ascii="Times New Roman" w:hAnsi="Times New Roman"/>
          <w:color w:val="003087"/>
        </w:rPr>
        <w:t>5. Experimental Results</w:t>
      </w:r>
    </w:p>
    <w:p>
      <w:pPr>
        <w:spacing w:after="80"/>
        <w:jc w:val="both"/>
      </w:pPr>
      <w:r>
        <w:rPr>
          <w:rFonts w:ascii="Times New Roman" w:hAnsi="Times New Roman"/>
          <w:b w:val="0"/>
          <w:i w:val="0"/>
          <w:sz w:val="20"/>
        </w:rPr>
        <w:t>Table 1 presents verified held-out metrics (train.py, seed 42, 6.4 s). Gradient boosting outperforms persistence on all five targets. MAE gains: 25.4% (memory) to 45.4% (network). CPU and network: R²=0.855/0.871.</w:t>
      </w:r>
    </w:p>
    <w:p>
      <w:pPr>
        <w:spacing w:after="80"/>
        <w:jc w:val="both"/>
      </w:pPr>
      <w:r>
        <w:rPr>
          <w:rFonts w:ascii="Times New Roman" w:hAnsi="Times New Roman"/>
          <w:b w:val="0"/>
          <w:i/>
          <w:sz w:val="20"/>
        </w:rPr>
        <w:t>Table 1. Verified Forecasting Metrics on Chronological Test Set (N=1,152). Persistence: ŷ_{t+4}=y_t. Stored Roll-4: 1-step MA on unshifted data. True Roll-4: four-step rolling mean from forecast origin t.</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003087"/>
          </w:tcPr>
          <w:p>
            <w:r>
              <w:rPr>
                <w:rFonts w:ascii="Times New Roman" w:hAnsi="Times New Roman"/>
                <w:b/>
                <w:color w:val="FFFFFF"/>
                <w:sz w:val="18"/>
              </w:rPr>
              <w:t>Target</w:t>
            </w:r>
          </w:p>
        </w:tc>
        <w:tc>
          <w:tcPr>
            <w:tcW w:type="dxa" w:w="1140"/>
            <w:shd w:val="clear" w:color="auto" w:fill="003087"/>
          </w:tcPr>
          <w:p>
            <w:r>
              <w:rPr>
                <w:rFonts w:ascii="Times New Roman" w:hAnsi="Times New Roman"/>
                <w:b/>
                <w:color w:val="FFFFFF"/>
                <w:sz w:val="18"/>
              </w:rPr>
              <w:t>MAE</w:t>
            </w:r>
          </w:p>
        </w:tc>
        <w:tc>
          <w:tcPr>
            <w:tcW w:type="dxa" w:w="1140"/>
            <w:shd w:val="clear" w:color="auto" w:fill="003087"/>
          </w:tcPr>
          <w:p>
            <w:r>
              <w:rPr>
                <w:rFonts w:ascii="Times New Roman" w:hAnsi="Times New Roman"/>
                <w:b/>
                <w:color w:val="FFFFFF"/>
                <w:sz w:val="18"/>
              </w:rPr>
              <w:t>RMSE</w:t>
            </w:r>
          </w:p>
        </w:tc>
        <w:tc>
          <w:tcPr>
            <w:tcW w:type="dxa" w:w="1140"/>
            <w:shd w:val="clear" w:color="auto" w:fill="003087"/>
          </w:tcPr>
          <w:p>
            <w:r>
              <w:rPr>
                <w:rFonts w:ascii="Times New Roman" w:hAnsi="Times New Roman"/>
                <w:b/>
                <w:color w:val="FFFFFF"/>
                <w:sz w:val="18"/>
              </w:rPr>
              <w:t>R²</w:t>
            </w:r>
          </w:p>
        </w:tc>
        <w:tc>
          <w:tcPr>
            <w:tcW w:type="dxa" w:w="1140"/>
            <w:shd w:val="clear" w:color="auto" w:fill="003087"/>
          </w:tcPr>
          <w:p>
            <w:r>
              <w:rPr>
                <w:rFonts w:ascii="Times New Roman" w:hAnsi="Times New Roman"/>
                <w:b/>
                <w:color w:val="FFFFFF"/>
                <w:sz w:val="18"/>
              </w:rPr>
              <w:t>Persistence MAE</w:t>
            </w:r>
          </w:p>
        </w:tc>
        <w:tc>
          <w:tcPr>
            <w:tcW w:type="dxa" w:w="1140"/>
            <w:shd w:val="clear" w:color="auto" w:fill="003087"/>
          </w:tcPr>
          <w:p>
            <w:r>
              <w:rPr>
                <w:rFonts w:ascii="Times New Roman" w:hAnsi="Times New Roman"/>
                <w:b/>
                <w:color w:val="FFFFFF"/>
                <w:sz w:val="18"/>
              </w:rPr>
              <w:t>Stored Roll-4</w:t>
            </w:r>
          </w:p>
        </w:tc>
        <w:tc>
          <w:tcPr>
            <w:tcW w:type="dxa" w:w="1140"/>
            <w:shd w:val="clear" w:color="auto" w:fill="003087"/>
          </w:tcPr>
          <w:p>
            <w:r>
              <w:rPr>
                <w:rFonts w:ascii="Times New Roman" w:hAnsi="Times New Roman"/>
                <w:b/>
                <w:color w:val="FFFFFF"/>
                <w:sz w:val="18"/>
              </w:rPr>
              <w:t>True Roll-4</w:t>
            </w:r>
          </w:p>
        </w:tc>
        <w:tc>
          <w:tcPr>
            <w:tcW w:type="dxa" w:w="1140"/>
            <w:shd w:val="clear" w:color="auto" w:fill="003087"/>
          </w:tcPr>
          <w:p>
            <w:r>
              <w:rPr>
                <w:rFonts w:ascii="Times New Roman" w:hAnsi="Times New Roman"/>
                <w:b/>
                <w:color w:val="FFFFFF"/>
                <w:sz w:val="18"/>
              </w:rPr>
              <w:t>Gain (%)</w:t>
            </w:r>
          </w:p>
        </w:tc>
      </w:tr>
      <w:tr>
        <w:tc>
          <w:tcPr>
            <w:tcW w:type="dxa" w:w="1140"/>
          </w:tcPr>
          <w:p>
            <w:r>
              <w:rPr>
                <w:rFonts w:ascii="Times New Roman" w:hAnsi="Times New Roman"/>
                <w:sz w:val="18"/>
              </w:rPr>
              <w:t>CPU Util. (%)</w:t>
            </w:r>
          </w:p>
        </w:tc>
        <w:tc>
          <w:tcPr>
            <w:tcW w:type="dxa" w:w="1140"/>
          </w:tcPr>
          <w:p>
            <w:r>
              <w:rPr>
                <w:rFonts w:ascii="Times New Roman" w:hAnsi="Times New Roman"/>
                <w:sz w:val="18"/>
              </w:rPr>
              <w:t>3.809</w:t>
            </w:r>
          </w:p>
        </w:tc>
        <w:tc>
          <w:tcPr>
            <w:tcW w:type="dxa" w:w="1140"/>
          </w:tcPr>
          <w:p>
            <w:r>
              <w:rPr>
                <w:rFonts w:ascii="Times New Roman" w:hAnsi="Times New Roman"/>
                <w:sz w:val="18"/>
              </w:rPr>
              <w:t>4.811</w:t>
            </w:r>
          </w:p>
        </w:tc>
        <w:tc>
          <w:tcPr>
            <w:tcW w:type="dxa" w:w="1140"/>
          </w:tcPr>
          <w:p>
            <w:r>
              <w:rPr>
                <w:rFonts w:ascii="Times New Roman" w:hAnsi="Times New Roman"/>
                <w:sz w:val="18"/>
              </w:rPr>
              <w:t>0.855</w:t>
            </w:r>
          </w:p>
        </w:tc>
        <w:tc>
          <w:tcPr>
            <w:tcW w:type="dxa" w:w="1140"/>
          </w:tcPr>
          <w:p>
            <w:r>
              <w:rPr>
                <w:rFonts w:ascii="Times New Roman" w:hAnsi="Times New Roman"/>
                <w:sz w:val="18"/>
              </w:rPr>
              <w:t>6.500</w:t>
            </w:r>
          </w:p>
        </w:tc>
        <w:tc>
          <w:tcPr>
            <w:tcW w:type="dxa" w:w="1140"/>
          </w:tcPr>
          <w:p>
            <w:r>
              <w:rPr>
                <w:rFonts w:ascii="Times New Roman" w:hAnsi="Times New Roman"/>
                <w:sz w:val="18"/>
              </w:rPr>
              <w:t>4.622</w:t>
            </w:r>
          </w:p>
        </w:tc>
        <w:tc>
          <w:tcPr>
            <w:tcW w:type="dxa" w:w="1140"/>
          </w:tcPr>
          <w:p>
            <w:r>
              <w:rPr>
                <w:rFonts w:ascii="Times New Roman" w:hAnsi="Times New Roman"/>
                <w:sz w:val="18"/>
              </w:rPr>
              <w:t>7.263</w:t>
            </w:r>
          </w:p>
        </w:tc>
        <w:tc>
          <w:tcPr>
            <w:tcW w:type="dxa" w:w="1140"/>
          </w:tcPr>
          <w:p>
            <w:r>
              <w:rPr>
                <w:rFonts w:ascii="Times New Roman" w:hAnsi="Times New Roman"/>
                <w:sz w:val="18"/>
              </w:rPr>
              <w:t>41.4</w:t>
            </w:r>
          </w:p>
        </w:tc>
      </w:tr>
      <w:tr>
        <w:tc>
          <w:tcPr>
            <w:tcW w:type="dxa" w:w="1140"/>
          </w:tcPr>
          <w:p>
            <w:r>
              <w:rPr>
                <w:rFonts w:ascii="Times New Roman" w:hAnsi="Times New Roman"/>
                <w:sz w:val="18"/>
              </w:rPr>
              <w:t>Memory Util. (%)</w:t>
            </w:r>
          </w:p>
        </w:tc>
        <w:tc>
          <w:tcPr>
            <w:tcW w:type="dxa" w:w="1140"/>
          </w:tcPr>
          <w:p>
            <w:r>
              <w:rPr>
                <w:rFonts w:ascii="Times New Roman" w:hAnsi="Times New Roman"/>
                <w:sz w:val="18"/>
              </w:rPr>
              <w:t>2.979</w:t>
            </w:r>
          </w:p>
        </w:tc>
        <w:tc>
          <w:tcPr>
            <w:tcW w:type="dxa" w:w="1140"/>
          </w:tcPr>
          <w:p>
            <w:r>
              <w:rPr>
                <w:rFonts w:ascii="Times New Roman" w:hAnsi="Times New Roman"/>
                <w:sz w:val="18"/>
              </w:rPr>
              <w:t>3.704</w:t>
            </w:r>
          </w:p>
        </w:tc>
        <w:tc>
          <w:tcPr>
            <w:tcW w:type="dxa" w:w="1140"/>
          </w:tcPr>
          <w:p>
            <w:r>
              <w:rPr>
                <w:rFonts w:ascii="Times New Roman" w:hAnsi="Times New Roman"/>
                <w:sz w:val="18"/>
              </w:rPr>
              <w:t>0.636</w:t>
            </w:r>
          </w:p>
        </w:tc>
        <w:tc>
          <w:tcPr>
            <w:tcW w:type="dxa" w:w="1140"/>
          </w:tcPr>
          <w:p>
            <w:r>
              <w:rPr>
                <w:rFonts w:ascii="Times New Roman" w:hAnsi="Times New Roman"/>
                <w:sz w:val="18"/>
              </w:rPr>
              <w:t>3.996</w:t>
            </w:r>
          </w:p>
        </w:tc>
        <w:tc>
          <w:tcPr>
            <w:tcW w:type="dxa" w:w="1140"/>
          </w:tcPr>
          <w:p>
            <w:r>
              <w:rPr>
                <w:rFonts w:ascii="Times New Roman" w:hAnsi="Times New Roman"/>
                <w:sz w:val="18"/>
              </w:rPr>
              <w:t>3.025</w:t>
            </w:r>
          </w:p>
        </w:tc>
        <w:tc>
          <w:tcPr>
            <w:tcW w:type="dxa" w:w="1140"/>
          </w:tcPr>
          <w:p>
            <w:r>
              <w:rPr>
                <w:rFonts w:ascii="Times New Roman" w:hAnsi="Times New Roman"/>
                <w:sz w:val="18"/>
              </w:rPr>
              <w:t>4.153</w:t>
            </w:r>
          </w:p>
        </w:tc>
        <w:tc>
          <w:tcPr>
            <w:tcW w:type="dxa" w:w="1140"/>
          </w:tcPr>
          <w:p>
            <w:r>
              <w:rPr>
                <w:rFonts w:ascii="Times New Roman" w:hAnsi="Times New Roman"/>
                <w:sz w:val="18"/>
              </w:rPr>
              <w:t>25.4</w:t>
            </w:r>
          </w:p>
        </w:tc>
      </w:tr>
      <w:tr>
        <w:tc>
          <w:tcPr>
            <w:tcW w:type="dxa" w:w="1140"/>
          </w:tcPr>
          <w:p>
            <w:r>
              <w:rPr>
                <w:rFonts w:ascii="Times New Roman" w:hAnsi="Times New Roman"/>
                <w:sz w:val="18"/>
              </w:rPr>
              <w:t>Net Traffic (Mbps)</w:t>
            </w:r>
          </w:p>
        </w:tc>
        <w:tc>
          <w:tcPr>
            <w:tcW w:type="dxa" w:w="1140"/>
          </w:tcPr>
          <w:p>
            <w:r>
              <w:rPr>
                <w:rFonts w:ascii="Times New Roman" w:hAnsi="Times New Roman"/>
                <w:sz w:val="18"/>
              </w:rPr>
              <w:t>43.876</w:t>
            </w:r>
          </w:p>
        </w:tc>
        <w:tc>
          <w:tcPr>
            <w:tcW w:type="dxa" w:w="1140"/>
          </w:tcPr>
          <w:p>
            <w:r>
              <w:rPr>
                <w:rFonts w:ascii="Times New Roman" w:hAnsi="Times New Roman"/>
                <w:sz w:val="18"/>
              </w:rPr>
              <w:t>55.328</w:t>
            </w:r>
          </w:p>
        </w:tc>
        <w:tc>
          <w:tcPr>
            <w:tcW w:type="dxa" w:w="1140"/>
          </w:tcPr>
          <w:p>
            <w:r>
              <w:rPr>
                <w:rFonts w:ascii="Times New Roman" w:hAnsi="Times New Roman"/>
                <w:sz w:val="18"/>
              </w:rPr>
              <w:t>0.871</w:t>
            </w:r>
          </w:p>
        </w:tc>
        <w:tc>
          <w:tcPr>
            <w:tcW w:type="dxa" w:w="1140"/>
          </w:tcPr>
          <w:p>
            <w:r>
              <w:rPr>
                <w:rFonts w:ascii="Times New Roman" w:hAnsi="Times New Roman"/>
                <w:sz w:val="18"/>
              </w:rPr>
              <w:t>80.346</w:t>
            </w:r>
          </w:p>
        </w:tc>
        <w:tc>
          <w:tcPr>
            <w:tcW w:type="dxa" w:w="1140"/>
          </w:tcPr>
          <w:p>
            <w:r>
              <w:rPr>
                <w:rFonts w:ascii="Times New Roman" w:hAnsi="Times New Roman"/>
                <w:sz w:val="18"/>
              </w:rPr>
              <w:t>56.727</w:t>
            </w:r>
          </w:p>
        </w:tc>
        <w:tc>
          <w:tcPr>
            <w:tcW w:type="dxa" w:w="1140"/>
          </w:tcPr>
          <w:p>
            <w:r>
              <w:rPr>
                <w:rFonts w:ascii="Times New Roman" w:hAnsi="Times New Roman"/>
                <w:sz w:val="18"/>
              </w:rPr>
              <w:t>90.816</w:t>
            </w:r>
          </w:p>
        </w:tc>
        <w:tc>
          <w:tcPr>
            <w:tcW w:type="dxa" w:w="1140"/>
          </w:tcPr>
          <w:p>
            <w:r>
              <w:rPr>
                <w:rFonts w:ascii="Times New Roman" w:hAnsi="Times New Roman"/>
                <w:sz w:val="18"/>
              </w:rPr>
              <w:t>45.4</w:t>
            </w:r>
          </w:p>
        </w:tc>
      </w:tr>
      <w:tr>
        <w:tc>
          <w:tcPr>
            <w:tcW w:type="dxa" w:w="1140"/>
          </w:tcPr>
          <w:p>
            <w:r>
              <w:rPr>
                <w:rFonts w:ascii="Times New Roman" w:hAnsi="Times New Roman"/>
                <w:sz w:val="18"/>
              </w:rPr>
              <w:t>Hourly Cost ($/h)</w:t>
            </w:r>
          </w:p>
        </w:tc>
        <w:tc>
          <w:tcPr>
            <w:tcW w:type="dxa" w:w="1140"/>
          </w:tcPr>
          <w:p>
            <w:r>
              <w:rPr>
                <w:rFonts w:ascii="Times New Roman" w:hAnsi="Times New Roman"/>
                <w:sz w:val="18"/>
              </w:rPr>
              <w:t>0.009</w:t>
            </w:r>
          </w:p>
        </w:tc>
        <w:tc>
          <w:tcPr>
            <w:tcW w:type="dxa" w:w="1140"/>
          </w:tcPr>
          <w:p>
            <w:r>
              <w:rPr>
                <w:rFonts w:ascii="Times New Roman" w:hAnsi="Times New Roman"/>
                <w:sz w:val="18"/>
              </w:rPr>
              <w:t>0.011</w:t>
            </w:r>
          </w:p>
        </w:tc>
        <w:tc>
          <w:tcPr>
            <w:tcW w:type="dxa" w:w="1140"/>
          </w:tcPr>
          <w:p>
            <w:r>
              <w:rPr>
                <w:rFonts w:ascii="Times New Roman" w:hAnsi="Times New Roman"/>
                <w:sz w:val="18"/>
              </w:rPr>
              <w:t>0.474</w:t>
            </w:r>
          </w:p>
        </w:tc>
        <w:tc>
          <w:tcPr>
            <w:tcW w:type="dxa" w:w="1140"/>
          </w:tcPr>
          <w:p>
            <w:r>
              <w:rPr>
                <w:rFonts w:ascii="Times New Roman" w:hAnsi="Times New Roman"/>
                <w:sz w:val="18"/>
              </w:rPr>
              <w:t>0.013</w:t>
            </w:r>
          </w:p>
        </w:tc>
        <w:tc>
          <w:tcPr>
            <w:tcW w:type="dxa" w:w="1140"/>
          </w:tcPr>
          <w:p>
            <w:r>
              <w:rPr>
                <w:rFonts w:ascii="Times New Roman" w:hAnsi="Times New Roman"/>
                <w:sz w:val="18"/>
              </w:rPr>
              <w:t>0.010</w:t>
            </w:r>
          </w:p>
        </w:tc>
        <w:tc>
          <w:tcPr>
            <w:tcW w:type="dxa" w:w="1140"/>
          </w:tcPr>
          <w:p>
            <w:r>
              <w:rPr>
                <w:rFonts w:ascii="Times New Roman" w:hAnsi="Times New Roman"/>
                <w:sz w:val="18"/>
              </w:rPr>
              <w:t>N/A</w:t>
            </w:r>
          </w:p>
        </w:tc>
        <w:tc>
          <w:tcPr>
            <w:tcW w:type="dxa" w:w="1140"/>
          </w:tcPr>
          <w:p>
            <w:r>
              <w:rPr>
                <w:rFonts w:ascii="Times New Roman" w:hAnsi="Times New Roman"/>
                <w:sz w:val="18"/>
              </w:rPr>
              <w:t>29.7</w:t>
            </w:r>
          </w:p>
        </w:tc>
      </w:tr>
      <w:tr>
        <w:tc>
          <w:tcPr>
            <w:tcW w:type="dxa" w:w="1140"/>
          </w:tcPr>
          <w:p>
            <w:r>
              <w:rPr>
                <w:rFonts w:ascii="Times New Roman" w:hAnsi="Times New Roman"/>
                <w:sz w:val="18"/>
              </w:rPr>
              <w:t>Carbon (gCO₂/15-min)</w:t>
            </w:r>
          </w:p>
        </w:tc>
        <w:tc>
          <w:tcPr>
            <w:tcW w:type="dxa" w:w="1140"/>
          </w:tcPr>
          <w:p>
            <w:r>
              <w:rPr>
                <w:rFonts w:ascii="Times New Roman" w:hAnsi="Times New Roman"/>
                <w:sz w:val="18"/>
              </w:rPr>
              <w:t>4.061</w:t>
            </w:r>
          </w:p>
        </w:tc>
        <w:tc>
          <w:tcPr>
            <w:tcW w:type="dxa" w:w="1140"/>
          </w:tcPr>
          <w:p>
            <w:r>
              <w:rPr>
                <w:rFonts w:ascii="Times New Roman" w:hAnsi="Times New Roman"/>
                <w:sz w:val="18"/>
              </w:rPr>
              <w:t>5.087</w:t>
            </w:r>
          </w:p>
        </w:tc>
        <w:tc>
          <w:tcPr>
            <w:tcW w:type="dxa" w:w="1140"/>
          </w:tcPr>
          <w:p>
            <w:r>
              <w:rPr>
                <w:rFonts w:ascii="Times New Roman" w:hAnsi="Times New Roman"/>
                <w:sz w:val="18"/>
              </w:rPr>
              <w:t>0.391</w:t>
            </w:r>
          </w:p>
        </w:tc>
        <w:tc>
          <w:tcPr>
            <w:tcW w:type="dxa" w:w="1140"/>
          </w:tcPr>
          <w:p>
            <w:r>
              <w:rPr>
                <w:rFonts w:ascii="Times New Roman" w:hAnsi="Times New Roman"/>
                <w:sz w:val="18"/>
              </w:rPr>
              <w:t>5.846</w:t>
            </w:r>
          </w:p>
        </w:tc>
        <w:tc>
          <w:tcPr>
            <w:tcW w:type="dxa" w:w="1140"/>
          </w:tcPr>
          <w:p>
            <w:r>
              <w:rPr>
                <w:rFonts w:ascii="Times New Roman" w:hAnsi="Times New Roman"/>
                <w:sz w:val="18"/>
              </w:rPr>
              <w:t>4.571</w:t>
            </w:r>
          </w:p>
        </w:tc>
        <w:tc>
          <w:tcPr>
            <w:tcW w:type="dxa" w:w="1140"/>
          </w:tcPr>
          <w:p>
            <w:r>
              <w:rPr>
                <w:rFonts w:ascii="Times New Roman" w:hAnsi="Times New Roman"/>
                <w:sz w:val="18"/>
              </w:rPr>
              <w:t>N/A</w:t>
            </w:r>
          </w:p>
        </w:tc>
        <w:tc>
          <w:tcPr>
            <w:tcW w:type="dxa" w:w="1140"/>
          </w:tcPr>
          <w:p>
            <w:r>
              <w:rPr>
                <w:rFonts w:ascii="Times New Roman" w:hAnsi="Times New Roman"/>
                <w:sz w:val="18"/>
              </w:rPr>
              <w:t>30.5</w:t>
            </w:r>
          </w:p>
        </w:tc>
      </w:tr>
    </w:tbl>
    <w:p/>
    <w:p>
      <w:pPr>
        <w:pStyle w:val="Heading2"/>
        <w:spacing w:before="120" w:after="80"/>
        <w:jc w:val="left"/>
      </w:pPr>
      <w:r>
        <w:rPr>
          <w:rFonts w:ascii="Times New Roman" w:hAnsi="Times New Roman"/>
          <w:color w:val="003087"/>
        </w:rPr>
        <w:t>5.2 Feature Importances</w:t>
      </w:r>
    </w:p>
    <w:p>
      <w:pPr>
        <w:pStyle w:val="ListBullet"/>
        <w:spacing w:after="40"/>
      </w:pPr>
      <w:r>
        <w:rPr>
          <w:rFonts w:ascii="Times New Roman" w:hAnsi="Times New Roman"/>
          <w:sz w:val="20"/>
        </w:rPr>
        <w:t>CPU: current lag (69.4%), hour (22.3%), day of week (4.8%), rolling mean (3.3%).</w:t>
      </w:r>
    </w:p>
    <w:p>
      <w:pPr>
        <w:pStyle w:val="ListBullet"/>
        <w:spacing w:after="40"/>
      </w:pPr>
      <w:r>
        <w:rPr>
          <w:rFonts w:ascii="Times New Roman" w:hAnsi="Times New Roman"/>
          <w:sz w:val="20"/>
        </w:rPr>
        <w:t>Memory: current value (45.5%), hour (35.7%), rolling mean (17.7%).</w:t>
      </w:r>
    </w:p>
    <w:p>
      <w:pPr>
        <w:pStyle w:val="ListBullet"/>
        <w:spacing w:after="40"/>
      </w:pPr>
      <w:r>
        <w:rPr>
          <w:rFonts w:ascii="Times New Roman" w:hAnsi="Times New Roman"/>
          <w:sz w:val="20"/>
        </w:rPr>
        <w:t>Network: current value (67.7%), hour (26.0%), day of week (4.0%).</w:t>
      </w:r>
    </w:p>
    <w:p>
      <w:pPr>
        <w:pStyle w:val="ListBullet"/>
        <w:spacing w:after="40"/>
      </w:pPr>
      <w:r>
        <w:rPr>
          <w:rFonts w:ascii="Times New Roman" w:hAnsi="Times New Roman"/>
          <w:sz w:val="20"/>
        </w:rPr>
        <w:t>Cost: CPU (67.1%), hour (21.9%), day of week (5.3%), memory (3.1%).</w:t>
      </w:r>
    </w:p>
    <w:p>
      <w:pPr>
        <w:pStyle w:val="ListBullet"/>
        <w:spacing w:after="40"/>
      </w:pPr>
      <w:r>
        <w:rPr>
          <w:rFonts w:ascii="Times New Roman" w:hAnsi="Times New Roman"/>
          <w:sz w:val="20"/>
        </w:rPr>
        <w:t>Carbon: grid intensity (71.1%), hour (20.0%), CPU (8.5%).</w:t>
      </w:r>
    </w:p>
    <w:p>
      <w:pPr>
        <w:pStyle w:val="Heading1"/>
        <w:spacing w:before="200" w:after="80"/>
        <w:jc w:val="left"/>
      </w:pPr>
      <w:r>
        <w:rPr>
          <w:rFonts w:ascii="Times New Roman" w:hAnsi="Times New Roman"/>
          <w:color w:val="003087"/>
        </w:rPr>
        <w:t>6. Discussion</w:t>
      </w:r>
    </w:p>
    <w:p>
      <w:pPr>
        <w:spacing w:after="80"/>
        <w:jc w:val="both"/>
      </w:pPr>
      <w:r>
        <w:rPr>
          <w:rFonts w:ascii="Times New Roman" w:hAnsi="Times New Roman"/>
          <w:b w:val="0"/>
          <w:i w:val="0"/>
          <w:sz w:val="20"/>
        </w:rPr>
        <w:t>High R² on CPU and network reflects recovery of the generator's sinusoidal formulas, not real-world generalization. Real hyperscale traces (Google Borg, Alibaba, Azure Functions) exhibit heavy-tailed distributions, preemptions, and non-stationary shifts absent from the synthetic series [3]. Reported metrics establish synthetic benchmark performance only.</w:t>
      </w:r>
    </w:p>
    <w:p>
      <w:pPr>
        <w:spacing w:after="80"/>
        <w:jc w:val="both"/>
      </w:pPr>
      <w:r>
        <w:rPr>
          <w:rFonts w:ascii="Times New Roman" w:hAnsi="Times New Roman"/>
          <w:b w:val="0"/>
          <w:i w:val="0"/>
          <w:sz w:val="20"/>
        </w:rPr>
        <w:t>The system cannot claim: (i) verified production cost savings (HTTP 501); (ii) measured Scope 2 carbon reductions (synthetic proxy); (iii) generalization to multi-tenant environments; (iv) validated live cloud connector behavior.</w:t>
      </w:r>
    </w:p>
    <w:p>
      <w:pPr>
        <w:pStyle w:val="Heading1"/>
        <w:spacing w:before="200" w:after="80"/>
        <w:jc w:val="left"/>
      </w:pPr>
      <w:r>
        <w:rPr>
          <w:rFonts w:ascii="Times New Roman" w:hAnsi="Times New Roman"/>
          <w:color w:val="003087"/>
        </w:rPr>
        <w:t>7. Limitations and Threats to Validity</w:t>
      </w:r>
    </w:p>
    <w:p>
      <w:pPr>
        <w:pStyle w:val="ListNumber"/>
        <w:spacing w:after="40"/>
      </w:pPr>
      <w:r>
        <w:rPr>
          <w:rFonts w:ascii="Times New Roman" w:hAnsi="Times New Roman"/>
          <w:sz w:val="20"/>
        </w:rPr>
        <w:t>Data provenance: single generator configuration (seed 42, 60-day, us-east).</w:t>
      </w:r>
    </w:p>
    <w:p>
      <w:pPr>
        <w:pStyle w:val="ListNumber"/>
        <w:spacing w:after="40"/>
      </w:pPr>
      <w:r>
        <w:rPr>
          <w:rFonts w:ascii="Times New Roman" w:hAnsi="Times New Roman"/>
          <w:sz w:val="20"/>
        </w:rPr>
        <w:t>Recursive multi-step inconsistency: 5-min steps on 1-h models; carbon output (~30–40 gCO₂/15-min) fed as carbon_intensity (~350–450 gCO₂/kWh) — ~10× mismatch.</w:t>
      </w:r>
    </w:p>
    <w:p>
      <w:pPr>
        <w:pStyle w:val="ListNumber"/>
        <w:spacing w:after="40"/>
      </w:pPr>
      <w:r>
        <w:rPr>
          <w:rFonts w:ascii="Times New Roman" w:hAnsi="Times New Roman"/>
          <w:sz w:val="20"/>
        </w:rPr>
        <w:t>Unverified live connectors: fall back to synthetic data in test environments.</w:t>
      </w:r>
    </w:p>
    <w:p>
      <w:pPr>
        <w:pStyle w:val="ListNumber"/>
        <w:spacing w:after="40"/>
      </w:pPr>
      <w:r>
        <w:rPr>
          <w:rFonts w:ascii="Times New Roman" w:hAnsi="Times New Roman"/>
          <w:sz w:val="20"/>
        </w:rPr>
        <w:t>HTTP 501 remediation guard: Digital Twin savings are static projections.</w:t>
      </w:r>
    </w:p>
    <w:p>
      <w:pPr>
        <w:pStyle w:val="ListNumber"/>
        <w:spacing w:after="40"/>
      </w:pPr>
      <w:r>
        <w:rPr>
          <w:rFonts w:ascii="Times New Roman" w:hAnsi="Times New Roman"/>
          <w:sz w:val="20"/>
        </w:rPr>
        <w:t>Carbon proxy: fixed 350 W server, excludes PUE, dynamic power states, Scope 3.</w:t>
      </w:r>
    </w:p>
    <w:p>
      <w:pPr>
        <w:pStyle w:val="ListNumber"/>
        <w:spacing w:after="40"/>
      </w:pPr>
      <w:r>
        <w:rPr>
          <w:rFonts w:ascii="Times New Roman" w:hAnsi="Times New Roman"/>
          <w:sz w:val="20"/>
        </w:rPr>
        <w:t>Test distribution: 12-day window; no cross-validation across disjoint periods.</w:t>
      </w:r>
    </w:p>
    <w:p>
      <w:pPr>
        <w:pStyle w:val="Heading1"/>
        <w:spacing w:before="200" w:after="80"/>
        <w:jc w:val="left"/>
      </w:pPr>
      <w:r>
        <w:rPr>
          <w:rFonts w:ascii="Times New Roman" w:hAnsi="Times New Roman"/>
          <w:color w:val="003087"/>
        </w:rPr>
        <w:t>8. Future Work</w:t>
      </w:r>
    </w:p>
    <w:p>
      <w:pPr>
        <w:pStyle w:val="ListBullet"/>
        <w:spacing w:after="40"/>
      </w:pPr>
      <w:r>
        <w:rPr>
          <w:rFonts w:ascii="Times New Roman" w:hAnsi="Times New Roman"/>
          <w:sz w:val="20"/>
        </w:rPr>
        <w:t>Real trace evaluation: Google Borg v2.1, Alibaba Cluster Data 2018, Azure Functions.</w:t>
      </w:r>
    </w:p>
    <w:p>
      <w:pPr>
        <w:pStyle w:val="ListBullet"/>
        <w:spacing w:after="40"/>
      </w:pPr>
      <w:r>
        <w:rPr>
          <w:rFonts w:ascii="Times New Roman" w:hAnsi="Times New Roman"/>
          <w:sz w:val="20"/>
        </w:rPr>
        <w:t>Horizon alignment refactoring: direct multi-horizon models eliminating error accumulation.</w:t>
      </w:r>
    </w:p>
    <w:p>
      <w:pPr>
        <w:pStyle w:val="ListBullet"/>
        <w:spacing w:after="40"/>
      </w:pPr>
      <w:r>
        <w:rPr>
          <w:rFonts w:ascii="Times New Roman" w:hAnsi="Times New Roman"/>
          <w:sz w:val="20"/>
        </w:rPr>
        <w:t>Real-time grid integration: Electricity Maps and WattTime live APIs.</w:t>
      </w:r>
    </w:p>
    <w:p>
      <w:pPr>
        <w:pStyle w:val="ListBullet"/>
        <w:spacing w:after="40"/>
      </w:pPr>
      <w:r>
        <w:rPr>
          <w:rFonts w:ascii="Times New Roman" w:hAnsi="Times New Roman"/>
          <w:sz w:val="20"/>
        </w:rPr>
        <w:t>Live canary validation: real billing telemetry with isolated cloud subscription.</w:t>
      </w:r>
    </w:p>
    <w:p>
      <w:pPr>
        <w:pStyle w:val="ListBullet"/>
        <w:spacing w:after="40"/>
      </w:pPr>
      <w:r>
        <w:rPr>
          <w:rFonts w:ascii="Times New Roman" w:hAnsi="Times New Roman"/>
          <w:sz w:val="20"/>
        </w:rPr>
        <w:t>Uncertainty quantification: quantile regression or conformal prediction intervals.</w:t>
      </w:r>
    </w:p>
    <w:p>
      <w:pPr>
        <w:pStyle w:val="Heading1"/>
        <w:spacing w:before="200" w:after="80"/>
        <w:jc w:val="left"/>
      </w:pPr>
      <w:r>
        <w:rPr>
          <w:rFonts w:ascii="Times New Roman" w:hAnsi="Times New Roman"/>
          <w:color w:val="003087"/>
        </w:rPr>
        <w:t>9. Conclusion</w:t>
      </w:r>
    </w:p>
    <w:p>
      <w:pPr>
        <w:spacing w:after="80"/>
        <w:jc w:val="both"/>
      </w:pPr>
      <w:r>
        <w:rPr>
          <w:rFonts w:ascii="Times New Roman" w:hAnsi="Times New Roman"/>
          <w:b w:val="0"/>
          <w:i w:val="0"/>
          <w:sz w:val="20"/>
        </w:rPr>
        <w:t>GreenMind AI demonstrates a complete, scientifically audited prototype integrating five gradient boosted forecasters, five-domain multi-agent orchestration, deterministic conflict arbitration, Digital Twin simulation, and an eight-tool AI copilot. On a 60-day synthetic benchmark, MAE improves 25.4%–45.4% over persistence. A thorough audit verified all metrics, corrected the baseline alignment discrepancy, documented the recursive wrapper scale mismatch, and established clear scope boundaries for future production validation.</w:t>
      </w:r>
    </w:p>
    <w:p>
      <w:pPr>
        <w:pStyle w:val="Heading1"/>
        <w:spacing w:before="200" w:after="80"/>
        <w:jc w:val="left"/>
      </w:pPr>
      <w:r>
        <w:rPr>
          <w:rFonts w:ascii="Times New Roman" w:hAnsi="Times New Roman"/>
          <w:color w:val="003087"/>
        </w:rPr>
        <w:t>References</w:t>
      </w:r>
    </w:p>
    <w:p>
      <w:pPr>
        <w:spacing w:after="80"/>
        <w:jc w:val="both"/>
      </w:pPr>
      <w:r>
        <w:rPr>
          <w:rFonts w:ascii="Times New Roman" w:hAnsi="Times New Roman"/>
          <w:b w:val="0"/>
          <w:i w:val="0"/>
          <w:sz w:val="18"/>
        </w:rPr>
        <w:t>[1] J. H. Friedman, "Greedy function approximation: A gradient boosting machine," The Annals of Statistics, vol. 29, no. 5, pp. 1189–1232, 2001. doi: 10.1214/aos/1013203451.</w:t>
      </w:r>
    </w:p>
    <w:p>
      <w:pPr>
        <w:spacing w:after="80"/>
        <w:jc w:val="both"/>
      </w:pPr>
      <w:r>
        <w:rPr>
          <w:rFonts w:ascii="Times New Roman" w:hAnsi="Times New Roman"/>
          <w:b w:val="0"/>
          <w:i w:val="0"/>
          <w:sz w:val="18"/>
        </w:rPr>
        <w:t>[2] C. Bergmeir, R. J. Hyndman, and B. Koo, "A note on the validity of cross-validation for evaluating autoregressive time series prediction," Computational Statistics &amp; Data Analysis, vol. 120, pp. 70–83, 2018. doi: 10.1016/j.csda.2017.11.003.</w:t>
      </w:r>
    </w:p>
    <w:p>
      <w:pPr>
        <w:spacing w:after="80"/>
        <w:jc w:val="both"/>
      </w:pPr>
      <w:r>
        <w:rPr>
          <w:rFonts w:ascii="Times New Roman" w:hAnsi="Times New Roman"/>
          <w:b w:val="0"/>
          <w:i w:val="0"/>
          <w:sz w:val="18"/>
        </w:rPr>
        <w:t>[3] A. Rossi, A. Visentin, D. Carraro, S. Prestwich, and K. N. Brown, "Forecasting workload in cloud computing: Towards uncertainty-aware predictions and transfer learning," Cluster Computing, vol. 28, art. 258, 2025. doi: 10.1007/s10586-024-04933-2.</w:t>
      </w:r>
    </w:p>
    <w:p>
      <w:pPr>
        <w:spacing w:after="80"/>
        <w:jc w:val="both"/>
      </w:pPr>
      <w:r>
        <w:rPr>
          <w:rFonts w:ascii="Times New Roman" w:hAnsi="Times New Roman"/>
          <w:b w:val="0"/>
          <w:i w:val="0"/>
          <w:sz w:val="18"/>
        </w:rPr>
        <w:t>[4] P. Henderson et al., "Towards the systematic reporting of the energy and carbon footprints of machine learning," JMLR, vol. 21, no. 248, 2020.</w:t>
      </w:r>
    </w:p>
    <w:p>
      <w:pPr>
        <w:spacing w:after="80"/>
        <w:jc w:val="both"/>
      </w:pPr>
      <w:r>
        <w:rPr>
          <w:rFonts w:ascii="Times New Roman" w:hAnsi="Times New Roman"/>
          <w:b w:val="0"/>
          <w:i w:val="0"/>
          <w:sz w:val="18"/>
        </w:rPr>
        <w:t>[5] L. Lannelongue, J. Grealey, and M. Inouye, "Green algorithms: Quantifying the carbon footprint of computation," Advanced Science, vol. 8, art. 2100707, 2021. doi: 10.1002/advs.202100707.</w:t>
      </w:r>
    </w:p>
    <w:p>
      <w:pPr>
        <w:spacing w:after="80"/>
        <w:jc w:val="both"/>
      </w:pPr>
      <w:r>
        <w:rPr>
          <w:rFonts w:ascii="Times New Roman" w:hAnsi="Times New Roman"/>
          <w:b w:val="0"/>
          <w:i w:val="0"/>
          <w:sz w:val="18"/>
        </w:rPr>
        <w:t>[6] A. Radovanovic et al., "Carbon-aware computing for datacenters," IEEE Transactions on Power Systems, vol. 38, no. 2, pp. 1270–1280, 2023. doi: 10.1109/TPWRS.2022.3173250.</w:t>
      </w:r>
    </w:p>
    <w:p>
      <w:pPr>
        <w:spacing w:after="80"/>
        <w:jc w:val="both"/>
      </w:pPr>
      <w:r>
        <w:rPr>
          <w:rFonts w:ascii="Times New Roman" w:hAnsi="Times New Roman"/>
          <w:b w:val="0"/>
          <w:i w:val="0"/>
          <w:sz w:val="18"/>
        </w:rPr>
        <w:t>[7] R. N. Calheiros, E. Masoumi, R. Ranjan, and R. Buyya, "Workload prediction using ARIMA model and its impact on cloud applications QoS," IEEE Transactions on Cloud Computing, vol. 3, no. 4, pp. 449–458, 2015. doi: 10.1109/TCC.2014.2350475.</w:t>
      </w:r>
    </w:p>
    <w:p>
      <w:pPr>
        <w:spacing w:after="80"/>
        <w:jc w:val="both"/>
      </w:pPr>
      <w:r>
        <w:rPr>
          <w:rFonts w:ascii="Times New Roman" w:hAnsi="Times New Roman"/>
          <w:b w:val="0"/>
          <w:i w:val="0"/>
          <w:sz w:val="18"/>
        </w:rPr>
        <w:t>[8] J. Dodge, T. Prewitt, R. T. Des Combes, E. Odmark, R. Schwartz, E. Strubell, A. S. Luccioni, N. A. Smith, N. DeCario, and W. Buchanan, "Measuring the carbon intensity of AI in cloud instances," in Proc. ACM FAccT 2022, Seoul, 2022, pp. 1536–1546. doi: 10.1145/3531146.3533147.</w:t>
      </w:r>
    </w:p>
    <w:p>
      <w:pPr>
        <w:spacing w:after="80"/>
        <w:jc w:val="both"/>
      </w:pPr>
      <w:r>
        <w:rPr>
          <w:rFonts w:ascii="Times New Roman" w:hAnsi="Times New Roman"/>
          <w:b w:val="0"/>
          <w:i w:val="0"/>
          <w:sz w:val="18"/>
        </w:rPr>
        <w:t>[9] Pratham-stack-coder, "GreenMind-AI repository," GitHub, 2026. [Online]. Available: https://github.com/Pratham-stack-coder/GreenMind-AI.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