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sz w:val="34"/>
        </w:rPr>
        <w:t>GreenMind AI: A Multi-Metric Forecasting and Decision-Support Platform for Cloud GreenOps</w:t>
      </w:r>
    </w:p>
    <w:p>
      <w:pPr>
        <w:spacing w:before="0" w:after="240"/>
        <w:jc w:val="center"/>
      </w:pPr>
      <w:r>
        <w:rPr>
          <w:rFonts w:ascii="Times New Roman" w:hAnsi="Times New Roman"/>
          <w:i/>
          <w:sz w:val="21"/>
        </w:rPr>
        <w:t>Anonymous submission draft</w:t>
      </w:r>
    </w:p>
    <w:p>
      <w:pPr>
        <w:sectPr>
          <w:pgSz w:w="12240" w:h="15840"/>
          <w:pgMar w:top="864" w:right="936" w:bottom="864" w:left="936" w:header="720" w:footer="720" w:gutter="0"/>
          <w:cols w:space="720"/>
          <w:docGrid w:linePitch="360"/>
        </w:sectPr>
      </w:pPr>
    </w:p>
    <w:p>
      <w:pPr>
        <w:spacing w:before="0" w:after="80" w:line="252" w:lineRule="auto"/>
        <w:jc w:val="both"/>
      </w:pPr>
      <w:r>
        <w:rPr>
          <w:b/>
          <w:sz w:val="17"/>
        </w:rPr>
        <w:t>Abstract—</w:t>
      </w:r>
      <w:r>
        <w:rPr>
          <w:sz w:val="17"/>
        </w:rPr>
        <w:t>Modern cloud operations require optimizing resource utilization, infrastructure cost, and environmental footprint simultaneously, yet predictive telemetry alone does not establish operational savings. This paper presents a comprehensive technical audit and architectural analysis of GreenMind AI, an open-source decision-support prototype for cloud GreenOps. The platform combines five one-hour-ahead machine learning forecasters with a five-domain multi-agent analysis engine (Cost, Performance, Sustainability, Security, and Reliability), transparent conflict arbitration, a non-destructive Digital Twin simulator, and an eight-tool explainable copilot. We evaluate the forecasting pipeline using the project's deterministic 60-day, 15-minute multi-metric synthetic dataset (5,756 chronological records) across a strict 80/20 train/test holdout (4,604 train and 1,152 test samples). GradientBoostingRegressor models achieve mean absolute error (MAE) improvements over a one-hour forecast-origin persistence baseline ranging from 25.4% to 45.4% across all five targets: CPU (3.809% vs. 6.500%), memory (2.979% vs. 3.996%), network (43.876 vs. 80.346 Mbps), cost ($0.009 vs. $0.013/h), and a synthetic carbon proxy (4.061 vs. 5.846 gCO2/15-min). Our audit reveals that the stored rolling-mean baseline in the repository evaluates a one-step-ahead (15-minute) prediction on unshifted test data rather than a true four-step-ahead forecast from origin, which actually yields higher error (e.g., 7.263% for CPU). Furthermore, we establish the boundaries of the system: the evaluations are derived from synthetic generator equations, cloud connector live behaviors are unverified end-to-end, and direct cloud remediation is strictly rejected at the API boundary with HTTP 501 (dry-run previews only). GreenMind AI provides an integrated software architecture for proactive cloud analysis, but synthetic accuracy must not be conflated with validated production cost or emission reductions.</w:t>
      </w:r>
    </w:p>
    <w:p>
      <w:pPr>
        <w:spacing w:before="40" w:after="120"/>
        <w:jc w:val="both"/>
      </w:pPr>
      <w:r>
        <w:rPr>
          <w:b/>
          <w:sz w:val="17"/>
        </w:rPr>
        <w:t>Index Terms—</w:t>
      </w:r>
      <w:r>
        <w:rPr>
          <w:sz w:val="17"/>
        </w:rPr>
        <w:t>Cloud computing, workload forecasting, gradient boosting, carbon-aware computing, synthetic telemetry, multi-agent systems, digital twin, decision support.</w:t>
      </w:r>
    </w:p>
    <w:p>
      <w:pPr>
        <w:keepNext/>
        <w:spacing w:before="180" w:after="60"/>
      </w:pPr>
      <w:r>
        <w:rPr>
          <w:b/>
          <w:sz w:val="19"/>
        </w:rPr>
        <w:t>I. INTRODUCTION</w:t>
      </w:r>
    </w:p>
    <w:p>
      <w:pPr>
        <w:spacing w:before="0" w:after="80" w:line="252" w:lineRule="auto"/>
        <w:jc w:val="both"/>
      </w:pPr>
      <w:r>
        <w:rPr>
          <w:sz w:val="18"/>
        </w:rPr>
        <w:t>Cloud data centers consume substantial global electrical energy, driving both cloud providers and tenants toward carbon-aware computing and FinOps/GreenOps operational practices [4], [6]. Modern cloud management platforms expose multifaceted observability signals, spanning CPU and memory utilization, network bandwidth, hourly billing meters, and regional grid carbon-intensity feeds. Proactive workload forecasting can assist orchestrators in identifying resource bottlenecks, scheduling deferrable batch tasks, and planning right-sizing actions prior to demand spikes. However, high predictive accuracy on historical data does not inherently translate into realized financial savings, carbon abatement, or preserved service-level objectives (SLOs) in production systems [3], [8].</w:t>
      </w:r>
    </w:p>
    <w:p>
      <w:pPr>
        <w:spacing w:before="0" w:after="80" w:line="252" w:lineRule="auto"/>
        <w:jc w:val="both"/>
      </w:pPr>
      <w:r>
        <w:rPr>
          <w:sz w:val="18"/>
        </w:rPr>
        <w:t>In environmental accounting, estimating greenhouse gas emissions requires rigorous accounting boundaries, real-time power telemetry, facility Power Usage Effectiveness (PUE), and time-varying marginal emissions factors [4], [5]. Consequently, a synthetic or static proxy cannot be reported as an empirical Scope 2 carbon reduction without live meter verification. Similarly, automated remediation must balance conflicting operational trade-offs, such as performance headroom versus idle cost elimination.</w:t>
      </w:r>
    </w:p>
    <w:p>
      <w:pPr>
        <w:spacing w:before="0" w:after="80" w:line="252" w:lineRule="auto"/>
        <w:jc w:val="both"/>
      </w:pPr>
      <w:r>
        <w:rPr>
          <w:sz w:val="18"/>
        </w:rPr>
        <w:t>GreenMind AI is an open-source software prototype developed to bridge the gap between predictive telemetry and operational decision support. The repository integrates a multi-metric forecasting pipeline, a FastAPI service layer, a TypeScript/React management cockpit, five domain-oriented analysis agents (Cost, Performance, Sustainability, Security, Reliability) orchestrated via a state graph, a deterministic conflict resolver, an eight-tool explainable copilot, and a non-destructive Digital Twin simulator. Connector modules exist for Amazon Web Services (AWS), Microsoft Azure, and Google Cloud Platform (GCP).</w:t>
      </w:r>
    </w:p>
    <w:p>
      <w:pPr>
        <w:spacing w:before="0" w:after="80" w:line="252" w:lineRule="auto"/>
        <w:jc w:val="both"/>
      </w:pPr>
      <w:r>
        <w:rPr>
          <w:sz w:val="18"/>
        </w:rPr>
        <w:t>This paper delivers an empirical and architectural audit of the GreenMind AI implementation. We delineate three specific contributions: (1) We detail the end-to-end software architecture linking multi-source telemetry ingestion, multi-metric gradient boosted forecasting, multi-agent arbitration, Digital Twin simulation, and decision-support copilot interfaces. (2) We reproduce and verify the held-out forecasting performance across all five targets, analyzing feature importances and resolving a subtle baseline alignment discrepancy where stored moving averages reflected one-step-ahead predictions rather than four-step horizons. (3) We explicitly demarcate the empirical evidence boundaries: demonstrating that reported gains stem from a deterministic synthetic generator, clarifying the carbon target definition, and documenting that live remediation is intentionally disabled via HTTP 501 to prevent unauthorized cloud mutations.</w:t>
      </w:r>
    </w:p>
    <w:p>
      <w:pPr>
        <w:keepNext/>
        <w:spacing w:before="180" w:after="60"/>
      </w:pPr>
      <w:r>
        <w:rPr>
          <w:b/>
          <w:sz w:val="19"/>
        </w:rPr>
        <w:t>II. RELATED WORK</w:t>
      </w:r>
    </w:p>
    <w:p>
      <w:pPr>
        <w:spacing w:before="0" w:after="80" w:line="252" w:lineRule="auto"/>
        <w:jc w:val="both"/>
      </w:pPr>
      <w:r>
        <w:rPr>
          <w:sz w:val="18"/>
        </w:rPr>
        <w:t>Workload and resource demand forecasting has evolved from classical statistical models to complex deep neural networks. Calheiros et al. [7] demonstrated proactive cloud provisioning using autoregressive integrated moving average (ARIMA) models, showing that proactive scaling reduces QoS violations compared to reactive policies. Machine learning ensemble methods, particularly Friedman's Gradient Boosting Machine (GBM) [1], construct additive tree models that excel on tabular and structured lag features without demanding the compute scale of deep architectures. Recently, Rossi et al. [3] investigated probabilistic LSTMs and Bayesian neural networks on Google and Alibaba cluster traces, highlighting that point forecasts fail to capture operational uncertainty and that transfer learning degrades across disparate cloud providers. GreenMind AI utilizes five lightweight GradientBoostingRegressor models; unlike [3], its evaluation is confined to synthetic series.</w:t>
      </w:r>
    </w:p>
    <w:p>
      <w:pPr>
        <w:spacing w:before="0" w:after="80" w:line="252" w:lineRule="auto"/>
        <w:jc w:val="both"/>
      </w:pPr>
      <w:r>
        <w:rPr>
          <w:sz w:val="18"/>
        </w:rPr>
        <w:t>Evaluating time-series forecasters requires careful handling of temporal dependencies. Bergmeir, Hyndman, and Koo [2] established that standard cross-validation can be theoretically valid for purely autoregressive models when errors are uncorrelated, but a single chronological holdout remains standard practice when simulating prospective deployment. GreenMind AI enforces an 80/20 chronological split to avoid forward-looking data leakage.</w:t>
      </w:r>
    </w:p>
    <w:p>
      <w:pPr>
        <w:spacing w:before="0" w:after="80" w:line="252" w:lineRule="auto"/>
        <w:jc w:val="both"/>
      </w:pPr>
      <w:r>
        <w:rPr>
          <w:sz w:val="18"/>
        </w:rPr>
        <w:t>In green computing, Henderson et al. [4] established systematic reporting standards for machine learning energy consumption and grid carbon footprints. Lannelongue, Grealey, and Inouye [5] formulated the Green Algorithms framework, formalizing carbon calculations across runtime, TDP, PUE, and grid intensity. For hyperscale infrastructure, Radovanovic et al. [6] deployed carbon-aware computing systems at Google datacenters using day-ahead predictions and Virtual Capacity Curves to temporally shift flexible workloads to cleaner grid hours. Dodge et al. [8] measured operational carbon intensity across cloud instances, demonstrating that spatial region selection and temporal scheduling significantly reduce Scope 2 emissions. GreenMind AI incorporates regional intensity curves modeled after these principles, but applies them to synthetic telemetry rather than hardware meter feeds.</w:t>
      </w:r>
    </w:p>
    <w:p>
      <w:pPr>
        <w:keepNext/>
        <w:spacing w:before="180" w:after="60"/>
      </w:pPr>
      <w:r>
        <w:rPr>
          <w:b/>
          <w:sz w:val="19"/>
        </w:rPr>
        <w:t>III. PLATFORM IMPLEMENTATION AND ARCHITECTURE</w:t>
      </w:r>
    </w:p>
    <w:p>
      <w:pPr>
        <w:spacing w:before="0" w:after="80" w:line="252" w:lineRule="auto"/>
        <w:jc w:val="both"/>
      </w:pPr>
      <w:r>
        <w:rPr>
          <w:sz w:val="18"/>
        </w:rPr>
        <w:t>The GreenMind AI architecture comprises six interconnected components, structured to prevent unauthorized cloud mutations while providing explainable operational intelligence (Fig. 1).</w:t>
      </w:r>
    </w:p>
    <w:p>
      <w:pPr>
        <w:spacing w:before="80" w:after="40"/>
        <w:jc w:val="center"/>
      </w:pPr>
    </w:p>
    <w:p>
      <w:r>
        <w:drawing>
          <wp:inline xmlns:a="http://schemas.openxmlformats.org/drawingml/2006/main" xmlns:pic="http://schemas.openxmlformats.org/drawingml/2006/picture">
            <wp:extent cx="3154680" cy="1160073"/>
            <wp:docPr id="1" name="Picture 1"/>
            <wp:cNvGraphicFramePr>
              <a:graphicFrameLocks noChangeAspect="1"/>
            </wp:cNvGraphicFramePr>
            <a:graphic>
              <a:graphicData uri="http://schemas.openxmlformats.org/drawingml/2006/picture">
                <pic:pic>
                  <pic:nvPicPr>
                    <pic:cNvPr id="0" name="greenmind_architecture.png"/>
                    <pic:cNvPicPr/>
                  </pic:nvPicPr>
                  <pic:blipFill>
                    <a:blip r:embed="rId9"/>
                    <a:stretch>
                      <a:fillRect/>
                    </a:stretch>
                  </pic:blipFill>
                  <pic:spPr>
                    <a:xfrm>
                      <a:off x="0" y="0"/>
                      <a:ext cx="3154680" cy="1160073"/>
                    </a:xfrm>
                    <a:prstGeom prst="rect"/>
                  </pic:spPr>
                </pic:pic>
              </a:graphicData>
            </a:graphic>
          </wp:inline>
        </w:drawing>
      </w:r>
    </w:p>
    <w:p>
      <w:pPr>
        <w:spacing w:before="0" w:after="120"/>
        <w:jc w:val="both"/>
      </w:pPr>
      <w:r>
        <w:rPr>
          <w:i/>
          <w:sz w:val="16"/>
        </w:rPr>
        <w:t>Fig. 1. End-to-end GreenMind AI pipeline architecture: multi-source telemetry ingestion -&gt; ML multi-metric forecasting -&gt; specialized multi-agent analysis -&gt; deterministic conflict resolution -&gt; Digital Twin simulation -&gt; operator decision support.</w:t>
      </w:r>
    </w:p>
    <w:p>
      <w:pPr>
        <w:keepNext/>
        <w:spacing w:before="120" w:after="40"/>
      </w:pPr>
      <w:r>
        <w:rPr>
          <w:b/>
          <w:i/>
          <w:sz w:val="18"/>
        </w:rPr>
        <w:t>A. Telemetry Ingestion and Service Layer</w:t>
      </w:r>
    </w:p>
    <w:p>
      <w:pPr>
        <w:spacing w:before="0" w:after="80" w:line="252" w:lineRule="auto"/>
        <w:jc w:val="both"/>
      </w:pPr>
      <w:r>
        <w:rPr>
          <w:sz w:val="18"/>
        </w:rPr>
        <w:t>The backend service is implemented in FastAPI (Python 3.12) with SQLite/PostgreSQL persistence. Telemetry connectors interface with AWS CloudWatch (via boto3), Azure Monitor REST APIs, and GCP Cloud Monitoring v3. When valid credentials are not configured, each provider falls back to a deterministic synthetic generator. The system ingests five continuous signals at 15-minute intervals: CPU utilization (%), memory load (%), network traffic (Mbps), hourly compute spend (USD/h), and estimated carbon emissions proxy (gCO2/15-min).</w:t>
      </w:r>
    </w:p>
    <w:p>
      <w:pPr>
        <w:keepNext/>
        <w:spacing w:before="120" w:after="40"/>
      </w:pPr>
      <w:r>
        <w:rPr>
          <w:b/>
          <w:i/>
          <w:sz w:val="18"/>
        </w:rPr>
        <w:t>B. Multi-Metric Machine Learning Predictor</w:t>
      </w:r>
    </w:p>
    <w:p>
      <w:pPr>
        <w:spacing w:before="0" w:after="80" w:line="252" w:lineRule="auto"/>
        <w:jc w:val="both"/>
      </w:pPr>
      <w:r>
        <w:rPr>
          <w:sz w:val="18"/>
        </w:rPr>
        <w:t>Five independent GradientBoostingRegressor models are trained for one-hour-ahead (four-step) forecasting. Each model is configured with 150 estimators, maximum tree depth of 3, learning rate of 0.08, and fixed random seed 42. Input features are structured to avoid forward lookahead: CPU, memory, and network use lag values, hour, day of week, and backward-looking 1-hour rolling mean and standard deviation. Hourly cost uses CPU, memory, cost lag, hour, and day of week. The carbon model uses grid carbon intensity, hour, day of week, and CPU utilization. Predictions are clipped to physical limits, and an anomaly z-score threshold (z &gt; 2.5) flags unexpected deviations.</w:t>
      </w:r>
    </w:p>
    <w:p>
      <w:pPr>
        <w:keepNext/>
        <w:spacing w:before="120" w:after="40"/>
      </w:pPr>
      <w:r>
        <w:rPr>
          <w:b/>
          <w:i/>
          <w:sz w:val="18"/>
        </w:rPr>
        <w:t>C. Multi-Agent Analysis and Conflict Resolution</w:t>
      </w:r>
    </w:p>
    <w:p>
      <w:pPr>
        <w:spacing w:before="0" w:after="80" w:line="252" w:lineRule="auto"/>
        <w:jc w:val="both"/>
      </w:pPr>
      <w:r>
        <w:rPr>
          <w:sz w:val="18"/>
        </w:rPr>
        <w:t>Decision intelligence is partitioned into five specialized agents executed as a LangGraph StateGraph: Cost (idle spend, right-sizing), Performance (headroom, saturation), Sustainability (grid intensity curves, green deferral windows), Security (IAM posture, TLS), and Reliability (multi-zone redundancy). Opposing recommendations are reconciled by a deterministic conflict resolution engine. For example, when Performance requests headroom while Cost flags idle spend, the engine approves right-sizing paired with predictive autoscaling, maintaining a 60-second scale-out buffer. Non-urgent batch workloads are deferred to green grid windows, while critical path APIs remain on immediate execution.</w:t>
      </w:r>
    </w:p>
    <w:p>
      <w:pPr>
        <w:keepNext/>
        <w:spacing w:before="120" w:after="40"/>
      </w:pPr>
      <w:r>
        <w:rPr>
          <w:b/>
          <w:i/>
          <w:sz w:val="18"/>
        </w:rPr>
        <w:t>D. Digital Twin Simulation and Safe Remediation Boundary</w:t>
      </w:r>
    </w:p>
    <w:p>
      <w:pPr>
        <w:spacing w:before="0" w:after="80" w:line="252" w:lineRule="auto"/>
        <w:jc w:val="both"/>
      </w:pPr>
      <w:r>
        <w:rPr>
          <w:sz w:val="18"/>
        </w:rPr>
        <w:t>To evaluate operational impact without infrastructure risk, the Digital Twin engine simulates candidate actions against state snapshots. Supported scenarios include right-sizing, scale-up, scale-down, node consolidation, and region migration. The simulator projects changes in cost, carbon, and a composite Optimization Score (0-100), explicitly labeling outputs as SIMULATED / ESTIMATED. The AI Copilot provides natural-language access through eight grounded tools. Crucially, live cloud remediation is strictly rejected at the API boundary via HTTP 501 Not Implemented (dry-run previews only), ensuring that no real provider resources are modified.</w:t>
      </w:r>
    </w:p>
    <w:p>
      <w:pPr>
        <w:keepNext/>
        <w:spacing w:before="180" w:after="60"/>
      </w:pPr>
      <w:r>
        <w:rPr>
          <w:b/>
          <w:sz w:val="19"/>
        </w:rPr>
        <w:t>IV. EXPERIMENTAL METHODOLOGY</w:t>
      </w:r>
    </w:p>
    <w:p>
      <w:pPr>
        <w:keepNext/>
        <w:spacing w:before="120" w:after="40"/>
      </w:pPr>
      <w:r>
        <w:rPr>
          <w:b/>
          <w:i/>
          <w:sz w:val="18"/>
        </w:rPr>
        <w:t>A. Synthetic Telemetry Generation</w:t>
      </w:r>
    </w:p>
    <w:p>
      <w:pPr>
        <w:spacing w:before="0" w:after="80" w:line="252" w:lineRule="auto"/>
        <w:jc w:val="both"/>
      </w:pPr>
      <w:r>
        <w:rPr>
          <w:sz w:val="18"/>
        </w:rPr>
        <w:t>The synthetic generator creates 60 days of telemetry at 15-minute intervals starting June 1, 2026 (5,760 timestamps) using NumPy (seed 42). Metrics are generated from parameterized sinusoidal diurnal patterns, weekend dampening factors (0.7), linear trends, and Gaussian observation noise. Compute cost scales proportionally with CPU load based on an AWS m5.xlarge baseline ($0.192/h).</w:t>
      </w:r>
    </w:p>
    <w:p>
      <w:pPr>
        <w:keepNext/>
        <w:spacing w:before="120" w:after="40"/>
      </w:pPr>
      <w:r>
        <w:rPr>
          <w:b/>
          <w:i/>
          <w:sz w:val="18"/>
        </w:rPr>
        <w:t>B. Carbon Target Formulation and Units</w:t>
      </w:r>
    </w:p>
    <w:p>
      <w:pPr>
        <w:spacing w:before="0" w:after="80" w:line="252" w:lineRule="auto"/>
        <w:jc w:val="both"/>
      </w:pPr>
      <w:r>
        <w:rPr>
          <w:sz w:val="18"/>
        </w:rPr>
        <w:t>The carbon target requires dimensional clarity. Regional carbon intensity is looked up from an hourly profile for the us-east grid (320 to 470 gCO2/kWh). An assumed server power draw of 0.35 kW is integrated over the 15-minute step (0.25 h), yielding an energy consumption of 0.0875 kWh. Multiplying intensity by energy and adding Gaussian noise yields the carbon target in grams of CO2 per 15-minute sample (gCO2/15-min). It represents a synthetic proxy, omitting dynamic server power states, fan curves, PUE variances, and embodied lifecycle emissions [5].</w:t>
      </w:r>
    </w:p>
    <w:p>
      <w:pPr>
        <w:keepNext/>
        <w:spacing w:before="120" w:after="40"/>
      </w:pPr>
      <w:r>
        <w:rPr>
          <w:b/>
          <w:i/>
          <w:sz w:val="18"/>
        </w:rPr>
        <w:t>C. Chronological Split and Baselines</w:t>
      </w:r>
    </w:p>
    <w:p>
      <w:pPr>
        <w:spacing w:before="0" w:after="80" w:line="252" w:lineRule="auto"/>
        <w:jc w:val="both"/>
      </w:pPr>
      <w:r>
        <w:rPr>
          <w:sz w:val="18"/>
        </w:rPr>
        <w:t>A four-step forward shift aligns features with one-hour-ahead targets. Dropping the trailing four rows leaves 5,756 records. The dataset is split chronologically into 4,604 training samples (first 48 days) and 1,152 testing samples (final 12 days) without shuffling. Models are benchmarked against: (1) a forecast-origin persistence baseline (y_{t+4} = y_t), and (2) a four-sample moving average. Evaluated metrics include MAE, RMSE, R-squared, and relative percentage improvement over persistence.</w:t>
      </w:r>
    </w:p>
    <w:p>
      <w:pPr>
        <w:keepNext/>
        <w:spacing w:before="180" w:after="60"/>
      </w:pPr>
      <w:r>
        <w:rPr>
          <w:b/>
          <w:sz w:val="19"/>
        </w:rPr>
        <w:t>V. EXPERIMENTAL RESULTS</w:t>
      </w:r>
    </w:p>
    <w:p>
      <w:pPr>
        <w:spacing w:before="0" w:after="80" w:line="252" w:lineRule="auto"/>
        <w:jc w:val="both"/>
      </w:pPr>
      <w:r>
        <w:rPr>
          <w:sz w:val="18"/>
        </w:rPr>
        <w:t>Table I summarizes the held-out performance across all five targets. All metrics were reproduced identically from the saved model artifacts and audited via independent recomputation.</w:t>
      </w:r>
    </w:p>
    <w:p>
      <w:pPr>
        <w:keepNext/>
        <w:spacing w:before="120" w:after="40"/>
      </w:pPr>
      <w:r>
        <w:rPr>
          <w:b/>
          <w:sz w:val="15"/>
        </w:rPr>
        <w:t>TABLE I. SAVED HELD-OUT RESULTS ON THE SYNTHETIC DATASET (N=1,152). PERSISTENCE USES METRIC AT FORECAST ORIGIN; STORED ROLL4 IS THE REPOSITORY'S 1-STEP MOVING AVERAGE (N=1,148); TRUE ROLL4 EVALUATES ORIGIN AVERAGE PREDICTING 1H AHEAD.</w:t>
      </w:r>
    </w:p>
    <w:tbl>
      <w:tblPr>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rPr>
          <w:cantSplit/>
        </w:trPr>
        <w:tc>
          <w:tcPr>
            <w:tcW w:type="dxa" w:w="1008"/>
            <w:tcBorders>
              <w:top w:val="single" w:sz="4" w:space="0" w:color="000000"/>
              <w:left w:val="none" w:sz="4" w:space="0" w:color="000000"/>
              <w:bottom w:val="single" w:sz="4" w:space="0" w:color="000000"/>
              <w:right w:val="none" w:sz="4" w:space="0" w:color="000000"/>
            </w:tcBorders>
          </w:tcPr>
          <w:p>
            <w:pPr>
              <w:spacing w:before="20" w:after="20"/>
              <w:jc w:val="left"/>
            </w:pPr>
            <w:r>
              <w:rPr>
                <w:rFonts w:ascii="Times New Roman" w:hAnsi="Times New Roman"/>
                <w:b/>
                <w:sz w:val="14"/>
              </w:rPr>
              <w:t>Target</w:t>
            </w:r>
          </w:p>
        </w:tc>
        <w:tc>
          <w:tcPr>
            <w:tcW w:type="dxa" w:w="547"/>
            <w:tcBorders>
              <w:top w:val="single" w:sz="4" w:space="0" w:color="000000"/>
              <w:left w:val="none" w:sz="4" w:space="0" w:color="000000"/>
              <w:bottom w:val="single" w:sz="4" w:space="0" w:color="000000"/>
              <w:right w:val="none" w:sz="4" w:space="0" w:color="000000"/>
            </w:tcBorders>
          </w:tcPr>
          <w:p>
            <w:pPr>
              <w:spacing w:before="20" w:after="20"/>
              <w:jc w:val="right"/>
            </w:pPr>
            <w:r>
              <w:rPr>
                <w:rFonts w:ascii="Times New Roman" w:hAnsi="Times New Roman"/>
                <w:b/>
                <w:sz w:val="14"/>
              </w:rPr>
              <w:t>MAE</w:t>
            </w:r>
          </w:p>
        </w:tc>
        <w:tc>
          <w:tcPr>
            <w:tcW w:type="dxa" w:w="576"/>
            <w:tcBorders>
              <w:top w:val="single" w:sz="4" w:space="0" w:color="000000"/>
              <w:left w:val="none" w:sz="4" w:space="0" w:color="000000"/>
              <w:bottom w:val="single" w:sz="4" w:space="0" w:color="000000"/>
              <w:right w:val="none" w:sz="4" w:space="0" w:color="000000"/>
            </w:tcBorders>
          </w:tcPr>
          <w:p>
            <w:pPr>
              <w:spacing w:before="20" w:after="20"/>
              <w:jc w:val="right"/>
            </w:pPr>
            <w:r>
              <w:rPr>
                <w:rFonts w:ascii="Times New Roman" w:hAnsi="Times New Roman"/>
                <w:b/>
                <w:sz w:val="14"/>
              </w:rPr>
              <w:t>RMSE</w:t>
            </w:r>
          </w:p>
        </w:tc>
        <w:tc>
          <w:tcPr>
            <w:tcW w:type="dxa" w:w="504"/>
            <w:tcBorders>
              <w:top w:val="single" w:sz="4" w:space="0" w:color="000000"/>
              <w:left w:val="none" w:sz="4" w:space="0" w:color="000000"/>
              <w:bottom w:val="single" w:sz="4" w:space="0" w:color="000000"/>
              <w:right w:val="none" w:sz="4" w:space="0" w:color="000000"/>
            </w:tcBorders>
          </w:tcPr>
          <w:p>
            <w:pPr>
              <w:spacing w:before="20" w:after="20"/>
              <w:jc w:val="right"/>
            </w:pPr>
            <w:r>
              <w:rPr>
                <w:rFonts w:ascii="Times New Roman" w:hAnsi="Times New Roman"/>
                <w:b/>
                <w:sz w:val="14"/>
              </w:rPr>
              <w:t>R2</w:t>
            </w:r>
          </w:p>
        </w:tc>
        <w:tc>
          <w:tcPr>
            <w:tcW w:type="dxa" w:w="648"/>
            <w:tcBorders>
              <w:top w:val="single" w:sz="4" w:space="0" w:color="000000"/>
              <w:left w:val="none" w:sz="4" w:space="0" w:color="000000"/>
              <w:bottom w:val="single" w:sz="4" w:space="0" w:color="000000"/>
              <w:right w:val="none" w:sz="4" w:space="0" w:color="000000"/>
            </w:tcBorders>
          </w:tcPr>
          <w:p>
            <w:pPr>
              <w:spacing w:before="20" w:after="20"/>
              <w:jc w:val="right"/>
            </w:pPr>
            <w:r>
              <w:rPr>
                <w:rFonts w:ascii="Times New Roman" w:hAnsi="Times New Roman"/>
                <w:b/>
                <w:sz w:val="14"/>
              </w:rPr>
              <w:t>Pers. MAE</w:t>
            </w:r>
          </w:p>
        </w:tc>
        <w:tc>
          <w:tcPr>
            <w:tcW w:type="dxa" w:w="648"/>
            <w:tcBorders>
              <w:top w:val="single" w:sz="4" w:space="0" w:color="000000"/>
              <w:left w:val="none" w:sz="4" w:space="0" w:color="000000"/>
              <w:bottom w:val="single" w:sz="4" w:space="0" w:color="000000"/>
              <w:right w:val="none" w:sz="4" w:space="0" w:color="000000"/>
            </w:tcBorders>
          </w:tcPr>
          <w:p>
            <w:pPr>
              <w:spacing w:before="20" w:after="20"/>
              <w:jc w:val="right"/>
            </w:pPr>
            <w:r>
              <w:rPr>
                <w:rFonts w:ascii="Times New Roman" w:hAnsi="Times New Roman"/>
                <w:b/>
                <w:sz w:val="14"/>
              </w:rPr>
              <w:t>Stored Roll4</w:t>
            </w:r>
          </w:p>
        </w:tc>
        <w:tc>
          <w:tcPr>
            <w:tcW w:type="dxa" w:w="648"/>
            <w:tcBorders>
              <w:top w:val="single" w:sz="4" w:space="0" w:color="000000"/>
              <w:left w:val="none" w:sz="4" w:space="0" w:color="000000"/>
              <w:bottom w:val="single" w:sz="4" w:space="0" w:color="000000"/>
              <w:right w:val="none" w:sz="4" w:space="0" w:color="000000"/>
            </w:tcBorders>
          </w:tcPr>
          <w:p>
            <w:pPr>
              <w:spacing w:before="20" w:after="20"/>
              <w:jc w:val="right"/>
            </w:pPr>
            <w:r>
              <w:rPr>
                <w:rFonts w:ascii="Times New Roman" w:hAnsi="Times New Roman"/>
                <w:b/>
                <w:sz w:val="14"/>
              </w:rPr>
              <w:t>True Roll4</w:t>
            </w:r>
          </w:p>
        </w:tc>
        <w:tc>
          <w:tcPr>
            <w:tcW w:type="dxa" w:w="648"/>
            <w:tcBorders>
              <w:top w:val="single" w:sz="4" w:space="0" w:color="000000"/>
              <w:left w:val="none" w:sz="4" w:space="0" w:color="000000"/>
              <w:bottom w:val="single" w:sz="4" w:space="0" w:color="000000"/>
              <w:right w:val="none" w:sz="4" w:space="0" w:color="000000"/>
            </w:tcBorders>
          </w:tcPr>
          <w:p>
            <w:pPr>
              <w:spacing w:before="20" w:after="20"/>
              <w:jc w:val="right"/>
            </w:pPr>
            <w:r>
              <w:rPr>
                <w:rFonts w:ascii="Times New Roman" w:hAnsi="Times New Roman"/>
                <w:b/>
                <w:sz w:val="14"/>
              </w:rPr>
              <w:t>Gain (%)</w:t>
            </w:r>
          </w:p>
        </w:tc>
      </w:tr>
      <w:tr>
        <w:trPr>
          <w:cantSplit/>
        </w:trPr>
        <w:tc>
          <w:tcPr>
            <w:tcW w:type="dxa" w:w="1008"/>
            <w:tcBorders>
              <w:top w:val="none" w:sz="4" w:space="0" w:color="000000"/>
              <w:left w:val="none" w:sz="4" w:space="0" w:color="000000"/>
              <w:bottom w:val="none" w:sz="4" w:space="0" w:color="000000"/>
              <w:right w:val="none" w:sz="4" w:space="0" w:color="000000"/>
            </w:tcBorders>
          </w:tcPr>
          <w:p>
            <w:pPr>
              <w:spacing w:before="20" w:after="20"/>
              <w:jc w:val="left"/>
            </w:pPr>
            <w:r>
              <w:rPr>
                <w:rFonts w:ascii="Times New Roman" w:hAnsi="Times New Roman"/>
                <w:sz w:val="14"/>
              </w:rPr>
              <w:t>CPU (%)</w:t>
            </w:r>
          </w:p>
        </w:tc>
        <w:tc>
          <w:tcPr>
            <w:tcW w:type="dxa" w:w="547"/>
            <w:tcBorders>
              <w:top w:val="none" w:sz="4" w:space="0" w:color="000000"/>
              <w:left w:val="none" w:sz="4" w:space="0" w:color="000000"/>
              <w:bottom w:val="none" w:sz="4" w:space="0" w:color="000000"/>
              <w:right w:val="none" w:sz="4" w:space="0" w:color="000000"/>
            </w:tcBorders>
          </w:tcPr>
          <w:p>
            <w:pPr>
              <w:spacing w:before="20" w:after="20"/>
              <w:jc w:val="right"/>
            </w:pPr>
            <w:r>
              <w:rPr>
                <w:rFonts w:ascii="Times New Roman" w:hAnsi="Times New Roman"/>
                <w:sz w:val="14"/>
              </w:rPr>
              <w:t>3.809</w:t>
            </w:r>
          </w:p>
        </w:tc>
        <w:tc>
          <w:tcPr>
            <w:tcW w:type="dxa" w:w="576"/>
            <w:tcBorders>
              <w:top w:val="none" w:sz="4" w:space="0" w:color="000000"/>
              <w:left w:val="none" w:sz="4" w:space="0" w:color="000000"/>
              <w:bottom w:val="none" w:sz="4" w:space="0" w:color="000000"/>
              <w:right w:val="none" w:sz="4" w:space="0" w:color="000000"/>
            </w:tcBorders>
          </w:tcPr>
          <w:p>
            <w:pPr>
              <w:spacing w:before="20" w:after="20"/>
              <w:jc w:val="right"/>
            </w:pPr>
            <w:r>
              <w:rPr>
                <w:rFonts w:ascii="Times New Roman" w:hAnsi="Times New Roman"/>
                <w:sz w:val="14"/>
              </w:rPr>
              <w:t>4.811</w:t>
            </w:r>
          </w:p>
        </w:tc>
        <w:tc>
          <w:tcPr>
            <w:tcW w:type="dxa" w:w="504"/>
            <w:tcBorders>
              <w:top w:val="none" w:sz="4" w:space="0" w:color="000000"/>
              <w:left w:val="none" w:sz="4" w:space="0" w:color="000000"/>
              <w:bottom w:val="none" w:sz="4" w:space="0" w:color="000000"/>
              <w:right w:val="none" w:sz="4" w:space="0" w:color="000000"/>
            </w:tcBorders>
          </w:tcPr>
          <w:p>
            <w:pPr>
              <w:spacing w:before="20" w:after="20"/>
              <w:jc w:val="right"/>
            </w:pPr>
            <w:r>
              <w:rPr>
                <w:rFonts w:ascii="Times New Roman" w:hAnsi="Times New Roman"/>
                <w:sz w:val="14"/>
              </w:rPr>
              <w:t>0.855</w:t>
            </w:r>
          </w:p>
        </w:tc>
        <w:tc>
          <w:tcPr>
            <w:tcW w:type="dxa" w:w="648"/>
            <w:tcBorders>
              <w:top w:val="none" w:sz="4" w:space="0" w:color="000000"/>
              <w:left w:val="none" w:sz="4" w:space="0" w:color="000000"/>
              <w:bottom w:val="none" w:sz="4" w:space="0" w:color="000000"/>
              <w:right w:val="none" w:sz="4" w:space="0" w:color="000000"/>
            </w:tcBorders>
          </w:tcPr>
          <w:p>
            <w:pPr>
              <w:spacing w:before="20" w:after="20"/>
              <w:jc w:val="right"/>
            </w:pPr>
            <w:r>
              <w:rPr>
                <w:rFonts w:ascii="Times New Roman" w:hAnsi="Times New Roman"/>
                <w:sz w:val="14"/>
              </w:rPr>
              <w:t>6.500</w:t>
            </w:r>
          </w:p>
        </w:tc>
        <w:tc>
          <w:tcPr>
            <w:tcW w:type="dxa" w:w="648"/>
            <w:tcBorders>
              <w:top w:val="none" w:sz="4" w:space="0" w:color="000000"/>
              <w:left w:val="none" w:sz="4" w:space="0" w:color="000000"/>
              <w:bottom w:val="none" w:sz="4" w:space="0" w:color="000000"/>
              <w:right w:val="none" w:sz="4" w:space="0" w:color="000000"/>
            </w:tcBorders>
          </w:tcPr>
          <w:p>
            <w:pPr>
              <w:spacing w:before="20" w:after="20"/>
              <w:jc w:val="right"/>
            </w:pPr>
            <w:r>
              <w:rPr>
                <w:rFonts w:ascii="Times New Roman" w:hAnsi="Times New Roman"/>
                <w:sz w:val="14"/>
              </w:rPr>
              <w:t>4.622</w:t>
            </w:r>
          </w:p>
        </w:tc>
        <w:tc>
          <w:tcPr>
            <w:tcW w:type="dxa" w:w="648"/>
            <w:tcBorders>
              <w:top w:val="none" w:sz="4" w:space="0" w:color="000000"/>
              <w:left w:val="none" w:sz="4" w:space="0" w:color="000000"/>
              <w:bottom w:val="none" w:sz="4" w:space="0" w:color="000000"/>
              <w:right w:val="none" w:sz="4" w:space="0" w:color="000000"/>
            </w:tcBorders>
          </w:tcPr>
          <w:p>
            <w:pPr>
              <w:spacing w:before="20" w:after="20"/>
              <w:jc w:val="right"/>
            </w:pPr>
            <w:r>
              <w:rPr>
                <w:rFonts w:ascii="Times New Roman" w:hAnsi="Times New Roman"/>
                <w:sz w:val="14"/>
              </w:rPr>
              <w:t>7.263</w:t>
            </w:r>
          </w:p>
        </w:tc>
        <w:tc>
          <w:tcPr>
            <w:tcW w:type="dxa" w:w="648"/>
            <w:tcBorders>
              <w:top w:val="none" w:sz="4" w:space="0" w:color="000000"/>
              <w:left w:val="none" w:sz="4" w:space="0" w:color="000000"/>
              <w:bottom w:val="none" w:sz="4" w:space="0" w:color="000000"/>
              <w:right w:val="none" w:sz="4" w:space="0" w:color="000000"/>
            </w:tcBorders>
          </w:tcPr>
          <w:p>
            <w:pPr>
              <w:spacing w:before="20" w:after="20"/>
              <w:jc w:val="right"/>
            </w:pPr>
            <w:r>
              <w:rPr>
                <w:rFonts w:ascii="Times New Roman" w:hAnsi="Times New Roman"/>
                <w:sz w:val="14"/>
              </w:rPr>
              <w:t>41.4%</w:t>
            </w:r>
          </w:p>
        </w:tc>
      </w:tr>
      <w:tr>
        <w:trPr>
          <w:cantSplit/>
        </w:trPr>
        <w:tc>
          <w:tcPr>
            <w:tcW w:type="dxa" w:w="1008"/>
            <w:tcBorders>
              <w:top w:val="none" w:sz="4" w:space="0" w:color="000000"/>
              <w:left w:val="none" w:sz="4" w:space="0" w:color="000000"/>
              <w:bottom w:val="none" w:sz="4" w:space="0" w:color="000000"/>
              <w:right w:val="none" w:sz="4" w:space="0" w:color="000000"/>
            </w:tcBorders>
          </w:tcPr>
          <w:p>
            <w:pPr>
              <w:spacing w:before="20" w:after="20"/>
              <w:jc w:val="left"/>
            </w:pPr>
            <w:r>
              <w:rPr>
                <w:rFonts w:ascii="Times New Roman" w:hAnsi="Times New Roman"/>
                <w:sz w:val="14"/>
              </w:rPr>
              <w:t>Memory (%)</w:t>
            </w:r>
          </w:p>
        </w:tc>
        <w:tc>
          <w:tcPr>
            <w:tcW w:type="dxa" w:w="547"/>
            <w:tcBorders>
              <w:top w:val="none" w:sz="4" w:space="0" w:color="000000"/>
              <w:left w:val="none" w:sz="4" w:space="0" w:color="000000"/>
              <w:bottom w:val="none" w:sz="4" w:space="0" w:color="000000"/>
              <w:right w:val="none" w:sz="4" w:space="0" w:color="000000"/>
            </w:tcBorders>
          </w:tcPr>
          <w:p>
            <w:pPr>
              <w:spacing w:before="20" w:after="20"/>
              <w:jc w:val="right"/>
            </w:pPr>
            <w:r>
              <w:rPr>
                <w:rFonts w:ascii="Times New Roman" w:hAnsi="Times New Roman"/>
                <w:sz w:val="14"/>
              </w:rPr>
              <w:t>2.979</w:t>
            </w:r>
          </w:p>
        </w:tc>
        <w:tc>
          <w:tcPr>
            <w:tcW w:type="dxa" w:w="576"/>
            <w:tcBorders>
              <w:top w:val="none" w:sz="4" w:space="0" w:color="000000"/>
              <w:left w:val="none" w:sz="4" w:space="0" w:color="000000"/>
              <w:bottom w:val="none" w:sz="4" w:space="0" w:color="000000"/>
              <w:right w:val="none" w:sz="4" w:space="0" w:color="000000"/>
            </w:tcBorders>
          </w:tcPr>
          <w:p>
            <w:pPr>
              <w:spacing w:before="20" w:after="20"/>
              <w:jc w:val="right"/>
            </w:pPr>
            <w:r>
              <w:rPr>
                <w:rFonts w:ascii="Times New Roman" w:hAnsi="Times New Roman"/>
                <w:sz w:val="14"/>
              </w:rPr>
              <w:t>3.704</w:t>
            </w:r>
          </w:p>
        </w:tc>
        <w:tc>
          <w:tcPr>
            <w:tcW w:type="dxa" w:w="504"/>
            <w:tcBorders>
              <w:top w:val="none" w:sz="4" w:space="0" w:color="000000"/>
              <w:left w:val="none" w:sz="4" w:space="0" w:color="000000"/>
              <w:bottom w:val="none" w:sz="4" w:space="0" w:color="000000"/>
              <w:right w:val="none" w:sz="4" w:space="0" w:color="000000"/>
            </w:tcBorders>
          </w:tcPr>
          <w:p>
            <w:pPr>
              <w:spacing w:before="20" w:after="20"/>
              <w:jc w:val="right"/>
            </w:pPr>
            <w:r>
              <w:rPr>
                <w:rFonts w:ascii="Times New Roman" w:hAnsi="Times New Roman"/>
                <w:sz w:val="14"/>
              </w:rPr>
              <w:t>0.636</w:t>
            </w:r>
          </w:p>
        </w:tc>
        <w:tc>
          <w:tcPr>
            <w:tcW w:type="dxa" w:w="648"/>
            <w:tcBorders>
              <w:top w:val="none" w:sz="4" w:space="0" w:color="000000"/>
              <w:left w:val="none" w:sz="4" w:space="0" w:color="000000"/>
              <w:bottom w:val="none" w:sz="4" w:space="0" w:color="000000"/>
              <w:right w:val="none" w:sz="4" w:space="0" w:color="000000"/>
            </w:tcBorders>
          </w:tcPr>
          <w:p>
            <w:pPr>
              <w:spacing w:before="20" w:after="20"/>
              <w:jc w:val="right"/>
            </w:pPr>
            <w:r>
              <w:rPr>
                <w:rFonts w:ascii="Times New Roman" w:hAnsi="Times New Roman"/>
                <w:sz w:val="14"/>
              </w:rPr>
              <w:t>3.996</w:t>
            </w:r>
          </w:p>
        </w:tc>
        <w:tc>
          <w:tcPr>
            <w:tcW w:type="dxa" w:w="648"/>
            <w:tcBorders>
              <w:top w:val="none" w:sz="4" w:space="0" w:color="000000"/>
              <w:left w:val="none" w:sz="4" w:space="0" w:color="000000"/>
              <w:bottom w:val="none" w:sz="4" w:space="0" w:color="000000"/>
              <w:right w:val="none" w:sz="4" w:space="0" w:color="000000"/>
            </w:tcBorders>
          </w:tcPr>
          <w:p>
            <w:pPr>
              <w:spacing w:before="20" w:after="20"/>
              <w:jc w:val="right"/>
            </w:pPr>
            <w:r>
              <w:rPr>
                <w:rFonts w:ascii="Times New Roman" w:hAnsi="Times New Roman"/>
                <w:sz w:val="14"/>
              </w:rPr>
              <w:t>3.025</w:t>
            </w:r>
          </w:p>
        </w:tc>
        <w:tc>
          <w:tcPr>
            <w:tcW w:type="dxa" w:w="648"/>
            <w:tcBorders>
              <w:top w:val="none" w:sz="4" w:space="0" w:color="000000"/>
              <w:left w:val="none" w:sz="4" w:space="0" w:color="000000"/>
              <w:bottom w:val="none" w:sz="4" w:space="0" w:color="000000"/>
              <w:right w:val="none" w:sz="4" w:space="0" w:color="000000"/>
            </w:tcBorders>
          </w:tcPr>
          <w:p>
            <w:pPr>
              <w:spacing w:before="20" w:after="20"/>
              <w:jc w:val="right"/>
            </w:pPr>
            <w:r>
              <w:rPr>
                <w:rFonts w:ascii="Times New Roman" w:hAnsi="Times New Roman"/>
                <w:sz w:val="14"/>
              </w:rPr>
              <w:t>4.153</w:t>
            </w:r>
          </w:p>
        </w:tc>
        <w:tc>
          <w:tcPr>
            <w:tcW w:type="dxa" w:w="648"/>
            <w:tcBorders>
              <w:top w:val="none" w:sz="4" w:space="0" w:color="000000"/>
              <w:left w:val="none" w:sz="4" w:space="0" w:color="000000"/>
              <w:bottom w:val="none" w:sz="4" w:space="0" w:color="000000"/>
              <w:right w:val="none" w:sz="4" w:space="0" w:color="000000"/>
            </w:tcBorders>
          </w:tcPr>
          <w:p>
            <w:pPr>
              <w:spacing w:before="20" w:after="20"/>
              <w:jc w:val="right"/>
            </w:pPr>
            <w:r>
              <w:rPr>
                <w:rFonts w:ascii="Times New Roman" w:hAnsi="Times New Roman"/>
                <w:sz w:val="14"/>
              </w:rPr>
              <w:t>25.4%</w:t>
            </w:r>
          </w:p>
        </w:tc>
      </w:tr>
      <w:tr>
        <w:trPr>
          <w:cantSplit/>
        </w:trPr>
        <w:tc>
          <w:tcPr>
            <w:tcW w:type="dxa" w:w="1008"/>
            <w:tcBorders>
              <w:top w:val="none" w:sz="4" w:space="0" w:color="000000"/>
              <w:left w:val="none" w:sz="4" w:space="0" w:color="000000"/>
              <w:bottom w:val="none" w:sz="4" w:space="0" w:color="000000"/>
              <w:right w:val="none" w:sz="4" w:space="0" w:color="000000"/>
            </w:tcBorders>
          </w:tcPr>
          <w:p>
            <w:pPr>
              <w:spacing w:before="20" w:after="20"/>
              <w:jc w:val="left"/>
            </w:pPr>
            <w:r>
              <w:rPr>
                <w:rFonts w:ascii="Times New Roman" w:hAnsi="Times New Roman"/>
                <w:sz w:val="14"/>
              </w:rPr>
              <w:t>Network (Mbps)</w:t>
            </w:r>
          </w:p>
        </w:tc>
        <w:tc>
          <w:tcPr>
            <w:tcW w:type="dxa" w:w="547"/>
            <w:tcBorders>
              <w:top w:val="none" w:sz="4" w:space="0" w:color="000000"/>
              <w:left w:val="none" w:sz="4" w:space="0" w:color="000000"/>
              <w:bottom w:val="none" w:sz="4" w:space="0" w:color="000000"/>
              <w:right w:val="none" w:sz="4" w:space="0" w:color="000000"/>
            </w:tcBorders>
          </w:tcPr>
          <w:p>
            <w:pPr>
              <w:spacing w:before="20" w:after="20"/>
              <w:jc w:val="right"/>
            </w:pPr>
            <w:r>
              <w:rPr>
                <w:rFonts w:ascii="Times New Roman" w:hAnsi="Times New Roman"/>
                <w:sz w:val="14"/>
              </w:rPr>
              <w:t>43.876</w:t>
            </w:r>
          </w:p>
        </w:tc>
        <w:tc>
          <w:tcPr>
            <w:tcW w:type="dxa" w:w="576"/>
            <w:tcBorders>
              <w:top w:val="none" w:sz="4" w:space="0" w:color="000000"/>
              <w:left w:val="none" w:sz="4" w:space="0" w:color="000000"/>
              <w:bottom w:val="none" w:sz="4" w:space="0" w:color="000000"/>
              <w:right w:val="none" w:sz="4" w:space="0" w:color="000000"/>
            </w:tcBorders>
          </w:tcPr>
          <w:p>
            <w:pPr>
              <w:spacing w:before="20" w:after="20"/>
              <w:jc w:val="right"/>
            </w:pPr>
            <w:r>
              <w:rPr>
                <w:rFonts w:ascii="Times New Roman" w:hAnsi="Times New Roman"/>
                <w:sz w:val="14"/>
              </w:rPr>
              <w:t>55.328</w:t>
            </w:r>
          </w:p>
        </w:tc>
        <w:tc>
          <w:tcPr>
            <w:tcW w:type="dxa" w:w="504"/>
            <w:tcBorders>
              <w:top w:val="none" w:sz="4" w:space="0" w:color="000000"/>
              <w:left w:val="none" w:sz="4" w:space="0" w:color="000000"/>
              <w:bottom w:val="none" w:sz="4" w:space="0" w:color="000000"/>
              <w:right w:val="none" w:sz="4" w:space="0" w:color="000000"/>
            </w:tcBorders>
          </w:tcPr>
          <w:p>
            <w:pPr>
              <w:spacing w:before="20" w:after="20"/>
              <w:jc w:val="right"/>
            </w:pPr>
            <w:r>
              <w:rPr>
                <w:rFonts w:ascii="Times New Roman" w:hAnsi="Times New Roman"/>
                <w:sz w:val="14"/>
              </w:rPr>
              <w:t>0.871</w:t>
            </w:r>
          </w:p>
        </w:tc>
        <w:tc>
          <w:tcPr>
            <w:tcW w:type="dxa" w:w="648"/>
            <w:tcBorders>
              <w:top w:val="none" w:sz="4" w:space="0" w:color="000000"/>
              <w:left w:val="none" w:sz="4" w:space="0" w:color="000000"/>
              <w:bottom w:val="none" w:sz="4" w:space="0" w:color="000000"/>
              <w:right w:val="none" w:sz="4" w:space="0" w:color="000000"/>
            </w:tcBorders>
          </w:tcPr>
          <w:p>
            <w:pPr>
              <w:spacing w:before="20" w:after="20"/>
              <w:jc w:val="right"/>
            </w:pPr>
            <w:r>
              <w:rPr>
                <w:rFonts w:ascii="Times New Roman" w:hAnsi="Times New Roman"/>
                <w:sz w:val="14"/>
              </w:rPr>
              <w:t>80.346</w:t>
            </w:r>
          </w:p>
        </w:tc>
        <w:tc>
          <w:tcPr>
            <w:tcW w:type="dxa" w:w="648"/>
            <w:tcBorders>
              <w:top w:val="none" w:sz="4" w:space="0" w:color="000000"/>
              <w:left w:val="none" w:sz="4" w:space="0" w:color="000000"/>
              <w:bottom w:val="none" w:sz="4" w:space="0" w:color="000000"/>
              <w:right w:val="none" w:sz="4" w:space="0" w:color="000000"/>
            </w:tcBorders>
          </w:tcPr>
          <w:p>
            <w:pPr>
              <w:spacing w:before="20" w:after="20"/>
              <w:jc w:val="right"/>
            </w:pPr>
            <w:r>
              <w:rPr>
                <w:rFonts w:ascii="Times New Roman" w:hAnsi="Times New Roman"/>
                <w:sz w:val="14"/>
              </w:rPr>
              <w:t>56.727</w:t>
            </w:r>
          </w:p>
        </w:tc>
        <w:tc>
          <w:tcPr>
            <w:tcW w:type="dxa" w:w="648"/>
            <w:tcBorders>
              <w:top w:val="none" w:sz="4" w:space="0" w:color="000000"/>
              <w:left w:val="none" w:sz="4" w:space="0" w:color="000000"/>
              <w:bottom w:val="none" w:sz="4" w:space="0" w:color="000000"/>
              <w:right w:val="none" w:sz="4" w:space="0" w:color="000000"/>
            </w:tcBorders>
          </w:tcPr>
          <w:p>
            <w:pPr>
              <w:spacing w:before="20" w:after="20"/>
              <w:jc w:val="right"/>
            </w:pPr>
            <w:r>
              <w:rPr>
                <w:rFonts w:ascii="Times New Roman" w:hAnsi="Times New Roman"/>
                <w:sz w:val="14"/>
              </w:rPr>
              <w:t>90.816</w:t>
            </w:r>
          </w:p>
        </w:tc>
        <w:tc>
          <w:tcPr>
            <w:tcW w:type="dxa" w:w="648"/>
            <w:tcBorders>
              <w:top w:val="none" w:sz="4" w:space="0" w:color="000000"/>
              <w:left w:val="none" w:sz="4" w:space="0" w:color="000000"/>
              <w:bottom w:val="none" w:sz="4" w:space="0" w:color="000000"/>
              <w:right w:val="none" w:sz="4" w:space="0" w:color="000000"/>
            </w:tcBorders>
          </w:tcPr>
          <w:p>
            <w:pPr>
              <w:spacing w:before="20" w:after="20"/>
              <w:jc w:val="right"/>
            </w:pPr>
            <w:r>
              <w:rPr>
                <w:rFonts w:ascii="Times New Roman" w:hAnsi="Times New Roman"/>
                <w:sz w:val="14"/>
              </w:rPr>
              <w:t>45.4%</w:t>
            </w:r>
          </w:p>
        </w:tc>
      </w:tr>
      <w:tr>
        <w:trPr>
          <w:cantSplit/>
        </w:trPr>
        <w:tc>
          <w:tcPr>
            <w:tcW w:type="dxa" w:w="1008"/>
            <w:tcBorders>
              <w:top w:val="none" w:sz="4" w:space="0" w:color="000000"/>
              <w:left w:val="none" w:sz="4" w:space="0" w:color="000000"/>
              <w:bottom w:val="none" w:sz="4" w:space="0" w:color="000000"/>
              <w:right w:val="none" w:sz="4" w:space="0" w:color="000000"/>
            </w:tcBorders>
          </w:tcPr>
          <w:p>
            <w:pPr>
              <w:spacing w:before="20" w:after="20"/>
              <w:jc w:val="left"/>
            </w:pPr>
            <w:r>
              <w:rPr>
                <w:rFonts w:ascii="Times New Roman" w:hAnsi="Times New Roman"/>
                <w:sz w:val="14"/>
              </w:rPr>
              <w:t>Cost (USD/h)</w:t>
            </w:r>
          </w:p>
        </w:tc>
        <w:tc>
          <w:tcPr>
            <w:tcW w:type="dxa" w:w="547"/>
            <w:tcBorders>
              <w:top w:val="none" w:sz="4" w:space="0" w:color="000000"/>
              <w:left w:val="none" w:sz="4" w:space="0" w:color="000000"/>
              <w:bottom w:val="none" w:sz="4" w:space="0" w:color="000000"/>
              <w:right w:val="none" w:sz="4" w:space="0" w:color="000000"/>
            </w:tcBorders>
          </w:tcPr>
          <w:p>
            <w:pPr>
              <w:spacing w:before="20" w:after="20"/>
              <w:jc w:val="right"/>
            </w:pPr>
            <w:r>
              <w:rPr>
                <w:rFonts w:ascii="Times New Roman" w:hAnsi="Times New Roman"/>
                <w:sz w:val="14"/>
              </w:rPr>
              <w:t>0.009</w:t>
            </w:r>
          </w:p>
        </w:tc>
        <w:tc>
          <w:tcPr>
            <w:tcW w:type="dxa" w:w="576"/>
            <w:tcBorders>
              <w:top w:val="none" w:sz="4" w:space="0" w:color="000000"/>
              <w:left w:val="none" w:sz="4" w:space="0" w:color="000000"/>
              <w:bottom w:val="none" w:sz="4" w:space="0" w:color="000000"/>
              <w:right w:val="none" w:sz="4" w:space="0" w:color="000000"/>
            </w:tcBorders>
          </w:tcPr>
          <w:p>
            <w:pPr>
              <w:spacing w:before="20" w:after="20"/>
              <w:jc w:val="right"/>
            </w:pPr>
            <w:r>
              <w:rPr>
                <w:rFonts w:ascii="Times New Roman" w:hAnsi="Times New Roman"/>
                <w:sz w:val="14"/>
              </w:rPr>
              <w:t>0.011</w:t>
            </w:r>
          </w:p>
        </w:tc>
        <w:tc>
          <w:tcPr>
            <w:tcW w:type="dxa" w:w="504"/>
            <w:tcBorders>
              <w:top w:val="none" w:sz="4" w:space="0" w:color="000000"/>
              <w:left w:val="none" w:sz="4" w:space="0" w:color="000000"/>
              <w:bottom w:val="none" w:sz="4" w:space="0" w:color="000000"/>
              <w:right w:val="none" w:sz="4" w:space="0" w:color="000000"/>
            </w:tcBorders>
          </w:tcPr>
          <w:p>
            <w:pPr>
              <w:spacing w:before="20" w:after="20"/>
              <w:jc w:val="right"/>
            </w:pPr>
            <w:r>
              <w:rPr>
                <w:rFonts w:ascii="Times New Roman" w:hAnsi="Times New Roman"/>
                <w:sz w:val="14"/>
              </w:rPr>
              <w:t>0.474</w:t>
            </w:r>
          </w:p>
        </w:tc>
        <w:tc>
          <w:tcPr>
            <w:tcW w:type="dxa" w:w="648"/>
            <w:tcBorders>
              <w:top w:val="none" w:sz="4" w:space="0" w:color="000000"/>
              <w:left w:val="none" w:sz="4" w:space="0" w:color="000000"/>
              <w:bottom w:val="none" w:sz="4" w:space="0" w:color="000000"/>
              <w:right w:val="none" w:sz="4" w:space="0" w:color="000000"/>
            </w:tcBorders>
          </w:tcPr>
          <w:p>
            <w:pPr>
              <w:spacing w:before="20" w:after="20"/>
              <w:jc w:val="right"/>
            </w:pPr>
            <w:r>
              <w:rPr>
                <w:rFonts w:ascii="Times New Roman" w:hAnsi="Times New Roman"/>
                <w:sz w:val="14"/>
              </w:rPr>
              <w:t>0.013</w:t>
            </w:r>
          </w:p>
        </w:tc>
        <w:tc>
          <w:tcPr>
            <w:tcW w:type="dxa" w:w="648"/>
            <w:tcBorders>
              <w:top w:val="none" w:sz="4" w:space="0" w:color="000000"/>
              <w:left w:val="none" w:sz="4" w:space="0" w:color="000000"/>
              <w:bottom w:val="none" w:sz="4" w:space="0" w:color="000000"/>
              <w:right w:val="none" w:sz="4" w:space="0" w:color="000000"/>
            </w:tcBorders>
          </w:tcPr>
          <w:p>
            <w:pPr>
              <w:spacing w:before="20" w:after="20"/>
              <w:jc w:val="right"/>
            </w:pPr>
            <w:r>
              <w:rPr>
                <w:rFonts w:ascii="Times New Roman" w:hAnsi="Times New Roman"/>
                <w:sz w:val="14"/>
              </w:rPr>
              <w:t>0.010</w:t>
            </w:r>
          </w:p>
        </w:tc>
        <w:tc>
          <w:tcPr>
            <w:tcW w:type="dxa" w:w="648"/>
            <w:tcBorders>
              <w:top w:val="none" w:sz="4" w:space="0" w:color="000000"/>
              <w:left w:val="none" w:sz="4" w:space="0" w:color="000000"/>
              <w:bottom w:val="none" w:sz="4" w:space="0" w:color="000000"/>
              <w:right w:val="none" w:sz="4" w:space="0" w:color="000000"/>
            </w:tcBorders>
          </w:tcPr>
          <w:p>
            <w:pPr>
              <w:spacing w:before="20" w:after="20"/>
              <w:jc w:val="right"/>
            </w:pPr>
            <w:r>
              <w:rPr>
                <w:rFonts w:ascii="Times New Roman" w:hAnsi="Times New Roman"/>
                <w:sz w:val="14"/>
              </w:rPr>
              <w:t>N/A</w:t>
            </w:r>
          </w:p>
        </w:tc>
        <w:tc>
          <w:tcPr>
            <w:tcW w:type="dxa" w:w="648"/>
            <w:tcBorders>
              <w:top w:val="none" w:sz="4" w:space="0" w:color="000000"/>
              <w:left w:val="none" w:sz="4" w:space="0" w:color="000000"/>
              <w:bottom w:val="none" w:sz="4" w:space="0" w:color="000000"/>
              <w:right w:val="none" w:sz="4" w:space="0" w:color="000000"/>
            </w:tcBorders>
          </w:tcPr>
          <w:p>
            <w:pPr>
              <w:spacing w:before="20" w:after="20"/>
              <w:jc w:val="right"/>
            </w:pPr>
            <w:r>
              <w:rPr>
                <w:rFonts w:ascii="Times New Roman" w:hAnsi="Times New Roman"/>
                <w:sz w:val="14"/>
              </w:rPr>
              <w:t>29.7%</w:t>
            </w:r>
          </w:p>
        </w:tc>
      </w:tr>
      <w:tr>
        <w:trPr>
          <w:cantSplit/>
        </w:trPr>
        <w:tc>
          <w:tcPr>
            <w:tcW w:type="dxa" w:w="1008"/>
            <w:tcBorders>
              <w:top w:val="none" w:sz="4" w:space="0" w:color="000000"/>
              <w:left w:val="none" w:sz="4" w:space="0" w:color="000000"/>
              <w:bottom w:val="single" w:sz="4" w:space="0" w:color="000000"/>
              <w:right w:val="none" w:sz="4" w:space="0" w:color="000000"/>
            </w:tcBorders>
          </w:tcPr>
          <w:p>
            <w:pPr>
              <w:spacing w:before="20" w:after="20"/>
              <w:jc w:val="left"/>
            </w:pPr>
            <w:r>
              <w:rPr>
                <w:rFonts w:ascii="Times New Roman" w:hAnsi="Times New Roman"/>
                <w:sz w:val="14"/>
              </w:rPr>
              <w:t>Carbon (g/15m)</w:t>
            </w:r>
          </w:p>
        </w:tc>
        <w:tc>
          <w:tcPr>
            <w:tcW w:type="dxa" w:w="547"/>
            <w:tcBorders>
              <w:top w:val="none" w:sz="4" w:space="0" w:color="000000"/>
              <w:left w:val="none" w:sz="4" w:space="0" w:color="000000"/>
              <w:bottom w:val="single" w:sz="4" w:space="0" w:color="000000"/>
              <w:right w:val="none" w:sz="4" w:space="0" w:color="000000"/>
            </w:tcBorders>
          </w:tcPr>
          <w:p>
            <w:pPr>
              <w:spacing w:before="20" w:after="20"/>
              <w:jc w:val="right"/>
            </w:pPr>
            <w:r>
              <w:rPr>
                <w:rFonts w:ascii="Times New Roman" w:hAnsi="Times New Roman"/>
                <w:sz w:val="14"/>
              </w:rPr>
              <w:t>4.061</w:t>
            </w:r>
          </w:p>
        </w:tc>
        <w:tc>
          <w:tcPr>
            <w:tcW w:type="dxa" w:w="576"/>
            <w:tcBorders>
              <w:top w:val="none" w:sz="4" w:space="0" w:color="000000"/>
              <w:left w:val="none" w:sz="4" w:space="0" w:color="000000"/>
              <w:bottom w:val="single" w:sz="4" w:space="0" w:color="000000"/>
              <w:right w:val="none" w:sz="4" w:space="0" w:color="000000"/>
            </w:tcBorders>
          </w:tcPr>
          <w:p>
            <w:pPr>
              <w:spacing w:before="20" w:after="20"/>
              <w:jc w:val="right"/>
            </w:pPr>
            <w:r>
              <w:rPr>
                <w:rFonts w:ascii="Times New Roman" w:hAnsi="Times New Roman"/>
                <w:sz w:val="14"/>
              </w:rPr>
              <w:t>5.087</w:t>
            </w:r>
          </w:p>
        </w:tc>
        <w:tc>
          <w:tcPr>
            <w:tcW w:type="dxa" w:w="504"/>
            <w:tcBorders>
              <w:top w:val="none" w:sz="4" w:space="0" w:color="000000"/>
              <w:left w:val="none" w:sz="4" w:space="0" w:color="000000"/>
              <w:bottom w:val="single" w:sz="4" w:space="0" w:color="000000"/>
              <w:right w:val="none" w:sz="4" w:space="0" w:color="000000"/>
            </w:tcBorders>
          </w:tcPr>
          <w:p>
            <w:pPr>
              <w:spacing w:before="20" w:after="20"/>
              <w:jc w:val="right"/>
            </w:pPr>
            <w:r>
              <w:rPr>
                <w:rFonts w:ascii="Times New Roman" w:hAnsi="Times New Roman"/>
                <w:sz w:val="14"/>
              </w:rPr>
              <w:t>0.391</w:t>
            </w:r>
          </w:p>
        </w:tc>
        <w:tc>
          <w:tcPr>
            <w:tcW w:type="dxa" w:w="648"/>
            <w:tcBorders>
              <w:top w:val="none" w:sz="4" w:space="0" w:color="000000"/>
              <w:left w:val="none" w:sz="4" w:space="0" w:color="000000"/>
              <w:bottom w:val="single" w:sz="4" w:space="0" w:color="000000"/>
              <w:right w:val="none" w:sz="4" w:space="0" w:color="000000"/>
            </w:tcBorders>
          </w:tcPr>
          <w:p>
            <w:pPr>
              <w:spacing w:before="20" w:after="20"/>
              <w:jc w:val="right"/>
            </w:pPr>
            <w:r>
              <w:rPr>
                <w:rFonts w:ascii="Times New Roman" w:hAnsi="Times New Roman"/>
                <w:sz w:val="14"/>
              </w:rPr>
              <w:t>5.846</w:t>
            </w:r>
          </w:p>
        </w:tc>
        <w:tc>
          <w:tcPr>
            <w:tcW w:type="dxa" w:w="648"/>
            <w:tcBorders>
              <w:top w:val="none" w:sz="4" w:space="0" w:color="000000"/>
              <w:left w:val="none" w:sz="4" w:space="0" w:color="000000"/>
              <w:bottom w:val="single" w:sz="4" w:space="0" w:color="000000"/>
              <w:right w:val="none" w:sz="4" w:space="0" w:color="000000"/>
            </w:tcBorders>
          </w:tcPr>
          <w:p>
            <w:pPr>
              <w:spacing w:before="20" w:after="20"/>
              <w:jc w:val="right"/>
            </w:pPr>
            <w:r>
              <w:rPr>
                <w:rFonts w:ascii="Times New Roman" w:hAnsi="Times New Roman"/>
                <w:sz w:val="14"/>
              </w:rPr>
              <w:t>4.571</w:t>
            </w:r>
          </w:p>
        </w:tc>
        <w:tc>
          <w:tcPr>
            <w:tcW w:type="dxa" w:w="648"/>
            <w:tcBorders>
              <w:top w:val="none" w:sz="4" w:space="0" w:color="000000"/>
              <w:left w:val="none" w:sz="4" w:space="0" w:color="000000"/>
              <w:bottom w:val="single" w:sz="4" w:space="0" w:color="000000"/>
              <w:right w:val="none" w:sz="4" w:space="0" w:color="000000"/>
            </w:tcBorders>
          </w:tcPr>
          <w:p>
            <w:pPr>
              <w:spacing w:before="20" w:after="20"/>
              <w:jc w:val="right"/>
            </w:pPr>
            <w:r>
              <w:rPr>
                <w:rFonts w:ascii="Times New Roman" w:hAnsi="Times New Roman"/>
                <w:sz w:val="14"/>
              </w:rPr>
              <w:t>N/A</w:t>
            </w:r>
          </w:p>
        </w:tc>
        <w:tc>
          <w:tcPr>
            <w:tcW w:type="dxa" w:w="648"/>
            <w:tcBorders>
              <w:top w:val="none" w:sz="4" w:space="0" w:color="000000"/>
              <w:left w:val="none" w:sz="4" w:space="0" w:color="000000"/>
              <w:bottom w:val="single" w:sz="4" w:space="0" w:color="000000"/>
              <w:right w:val="none" w:sz="4" w:space="0" w:color="000000"/>
            </w:tcBorders>
          </w:tcPr>
          <w:p>
            <w:pPr>
              <w:spacing w:before="20" w:after="20"/>
              <w:jc w:val="right"/>
            </w:pPr>
            <w:r>
              <w:rPr>
                <w:rFonts w:ascii="Times New Roman" w:hAnsi="Times New Roman"/>
                <w:sz w:val="14"/>
              </w:rPr>
              <w:t>30.5%</w:t>
            </w:r>
          </w:p>
        </w:tc>
      </w:tr>
    </w:tbl>
    <w:p>
      <w:pPr>
        <w:spacing w:before="0" w:after="80" w:line="252" w:lineRule="auto"/>
        <w:jc w:val="both"/>
      </w:pPr>
      <w:r>
        <w:rPr>
          <w:sz w:val="18"/>
        </w:rPr>
        <w:t>Across all five targets, the gradient boosted models outperform persistence on the synthetic holdout, with relative MAE gains ranging from 25.4% (memory) to 45.4% (network). Network traffic and CPU achieve the highest coefficients of determination (R2 = 0.871 and 0.855). Feature importance rankings show that current metric lags dominate CPU (69.4%) and network (67.7%), while regional grid intensity drives carbon (71.1%) and CPU utilization drives cost (67.1%).</w:t>
      </w:r>
    </w:p>
    <w:p>
      <w:pPr>
        <w:keepNext/>
        <w:spacing w:before="180" w:after="60"/>
      </w:pPr>
      <w:r>
        <w:rPr>
          <w:b/>
          <w:sz w:val="19"/>
        </w:rPr>
        <w:t>VI. DISCUSSION AND TECHNICAL AUDIT FINDINGS</w:t>
      </w:r>
    </w:p>
    <w:p>
      <w:pPr>
        <w:spacing w:before="0" w:after="80" w:line="252" w:lineRule="auto"/>
        <w:jc w:val="both"/>
      </w:pPr>
      <w:r>
        <w:rPr>
          <w:sz w:val="18"/>
        </w:rPr>
        <w:t>Our audit resolved a critical baseline alignment nuance: the stored rolling-mean baseline in baseline.py evaluates a 1-step-ahead (15-minute) moving average on unshifted observations. When evaluated as a true four-step-ahead baseline from forecast origin, baseline MAEs rise substantially (e.g., CPU MAE increases from 4.622% to 7.263%), performing worse than simple persistence (6.500%) due to phase-shift delay during diurnal cycles. The boosted tree models decisively outperform both baselines.</w:t>
      </w:r>
    </w:p>
    <w:p>
      <w:pPr>
        <w:spacing w:before="0" w:after="80" w:line="252" w:lineRule="auto"/>
        <w:jc w:val="both"/>
      </w:pPr>
      <w:r>
        <w:rPr>
          <w:sz w:val="18"/>
        </w:rPr>
        <w:t>However, high synthetic performance must be interpreted with caution. The models effectively learn the smooth mathematical formulas embedded in the generator. Real-world cluster traces exhibit burstiness, abrupt job terminations, and complex cross-tenant interference that deviate sharply from idealized sinusoids [3].</w:t>
      </w:r>
    </w:p>
    <w:p>
      <w:pPr>
        <w:keepNext/>
        <w:spacing w:before="180" w:after="60"/>
      </w:pPr>
      <w:r>
        <w:rPr>
          <w:b/>
          <w:sz w:val="19"/>
        </w:rPr>
        <w:t>VII. LIMITATIONS AND THREATS TO VALIDITY</w:t>
      </w:r>
    </w:p>
    <w:p>
      <w:pPr>
        <w:spacing w:before="0" w:after="80" w:line="252" w:lineRule="auto"/>
        <w:jc w:val="both"/>
      </w:pPr>
      <w:r>
        <w:rPr>
          <w:sz w:val="18"/>
        </w:rPr>
        <w:t>The primary limitation is data provenance: all results are established on synthetic data. Furthermore, in predictor.py, the forecast_multi_step wrapper applies 5-minute recursion to models trained on 1-hour direct targets and feeds back carbon values scaled ~10x below the training feature distribution. Additionally, live cloud connectors were not validated across real subscriptions, automated remediation is blocked via HTTP 501, and the carbon proxy assumes constant power, omitting server dynamic power curves and embodied Scope 3 emissions [4], [5].</w:t>
      </w:r>
    </w:p>
    <w:p>
      <w:pPr>
        <w:keepNext/>
        <w:spacing w:before="180" w:after="60"/>
      </w:pPr>
      <w:r>
        <w:rPr>
          <w:b/>
          <w:sz w:val="19"/>
        </w:rPr>
        <w:t>VIII. CONCLUSION</w:t>
      </w:r>
    </w:p>
    <w:p>
      <w:pPr>
        <w:spacing w:before="0" w:after="80" w:line="252" w:lineRule="auto"/>
        <w:jc w:val="both"/>
      </w:pPr>
      <w:r>
        <w:rPr>
          <w:sz w:val="18"/>
        </w:rPr>
        <w:t>GreenMind AI implements a comprehensive decision-support architecture uniting multi-metric forecasting, multi-agent arbitration, Digital Twin simulation, and copilot interfaces. On a 60-day synthetic benchmark, gradient boosted regressors reduce one-hour-ahead MAE by 25.4% to 45.4% compared to persistence. These metrics demonstrate successful algorithmic fitting on synthetic telemetry, but do not establish production cloud generalization or realized financial and carbon savings. Future work will benchmark real-world traces, live grid carbon APIs, and safe canary remediation.</w:t>
      </w:r>
    </w:p>
    <w:p>
      <w:pPr>
        <w:keepNext/>
        <w:spacing w:before="180" w:after="60"/>
      </w:pPr>
      <w:r>
        <w:rPr>
          <w:b/>
          <w:sz w:val="19"/>
        </w:rPr>
        <w:t>REFERENCES</w:t>
      </w:r>
    </w:p>
    <w:p>
      <w:pPr>
        <w:spacing w:before="0" w:after="40"/>
        <w:ind w:left="288" w:hanging="288"/>
        <w:jc w:val="both"/>
      </w:pPr>
      <w:r>
        <w:rPr>
          <w:sz w:val="15"/>
        </w:rPr>
        <w:t>[1] J. H. Friedman, "Greedy function approximation: A gradient boosting machine," The Annals of Statistics, vol. 29, no. 5, pp. 1189-1232, Oct. 2001, doi: 10.1214/aos/1013203451.</w:t>
      </w:r>
    </w:p>
    <w:p>
      <w:pPr>
        <w:spacing w:before="0" w:after="40"/>
        <w:ind w:left="288" w:hanging="288"/>
        <w:jc w:val="both"/>
      </w:pPr>
      <w:r>
        <w:rPr>
          <w:sz w:val="15"/>
        </w:rPr>
        <w:t>[2] C. Bergmeir, R. J. Hyndman, and B. Koo, "A note on the validity of cross-validation for evaluating autoregressive time series prediction," Computational Statistics &amp; Data Analysis, vol. 120, pp. 70-83, Apr. 2018, doi: 10.1016/j.csda.2017.11.003.</w:t>
      </w:r>
    </w:p>
    <w:p>
      <w:pPr>
        <w:spacing w:before="0" w:after="40"/>
        <w:ind w:left="288" w:hanging="288"/>
        <w:jc w:val="both"/>
      </w:pPr>
      <w:r>
        <w:rPr>
          <w:sz w:val="15"/>
        </w:rPr>
        <w:t>[3] A. Rossi, A. Visentin, D. Carraro, S. Prestwich, and K. N. Brown, "Forecasting workload in cloud computing: Towards uncertainty-aware predictions and transfer learning," Cluster Computing, vol. 28, art. no. 258, pp. 1-22, 2025, doi: 10.1007/s10586-024-04933-2.</w:t>
      </w:r>
    </w:p>
    <w:p>
      <w:pPr>
        <w:spacing w:before="0" w:after="40"/>
        <w:ind w:left="288" w:hanging="288"/>
        <w:jc w:val="both"/>
      </w:pPr>
      <w:r>
        <w:rPr>
          <w:sz w:val="15"/>
        </w:rPr>
        <w:t>[4] P. Henderson, J. Hu, J. Romoff, E. Brunskill, D. Jurafsky, and J. Pineau, "Towards the systematic reporting of the energy and carbon footprints of machine learning," Journal of Machine Learning Research, vol. 21, no. 248, pp. 1-43, 2020.</w:t>
      </w:r>
    </w:p>
    <w:p>
      <w:pPr>
        <w:spacing w:before="0" w:after="40"/>
        <w:ind w:left="288" w:hanging="288"/>
        <w:jc w:val="both"/>
      </w:pPr>
      <w:r>
        <w:rPr>
          <w:sz w:val="15"/>
        </w:rPr>
        <w:t>[5] L. Lannelongue, J. Grealey, and M. Inouye, "Green algorithms: Quantifying the carbon footprint of computation," Advanced Science, vol. 8, no. 12, art. no. 2100707, pp. 1-10, 2021, doi: 10.1002/advs.202100707.</w:t>
      </w:r>
    </w:p>
    <w:p>
      <w:pPr>
        <w:spacing w:before="0" w:after="40"/>
        <w:ind w:left="288" w:hanging="288"/>
        <w:jc w:val="both"/>
      </w:pPr>
      <w:r>
        <w:rPr>
          <w:sz w:val="15"/>
        </w:rPr>
        <w:t>[6] A. Radovanovic et al., "Carbon-aware computing for datacenters," IEEE Transactions on Power Systems, vol. 38, no. 2, pp. 1270-1280, Mar. 2023, doi: 10.1109/TPWRS.2022.3173250.</w:t>
      </w:r>
    </w:p>
    <w:p>
      <w:pPr>
        <w:spacing w:before="0" w:after="40"/>
        <w:ind w:left="288" w:hanging="288"/>
        <w:jc w:val="both"/>
      </w:pPr>
      <w:r>
        <w:rPr>
          <w:sz w:val="15"/>
        </w:rPr>
        <w:t>[7] R. N. Calheiros, E. Masoumi, R. Ranjan, and R. Buyya, "Workload prediction using ARIMA model and its impact on cloud applications' QoS," IEEE Transactions on Cloud Computing, vol. 3, no. 4, pp. 449-458, Oct.-Dec. 2015, doi: 10.1109/TCC.2014.2350475.</w:t>
      </w:r>
    </w:p>
    <w:p>
      <w:pPr>
        <w:spacing w:before="0" w:after="40"/>
        <w:ind w:left="288" w:hanging="288"/>
        <w:jc w:val="both"/>
      </w:pPr>
      <w:r>
        <w:rPr>
          <w:sz w:val="15"/>
        </w:rPr>
        <w:t>[8] J. Dodge et al., "Measuring the carbon intensity of AI in cloud instances," in Proceedings of the 2022 ACM Conference on Fairness, Accountability, and Transparency (FAccT '22), 2022, pp. 1536-1546, doi: 10.1145/3531146.3533147.</w:t>
      </w:r>
    </w:p>
    <w:p>
      <w:pPr>
        <w:spacing w:before="0" w:after="40"/>
        <w:ind w:left="288" w:hanging="288"/>
        <w:jc w:val="both"/>
      </w:pPr>
      <w:r>
        <w:rPr>
          <w:sz w:val="15"/>
        </w:rPr>
        <w:t>[9] Pratham-stack-coder, "GreenMind-AI repository," GitHub, 2026. Available: https://github.com/Pratham-stack-coder/GreenMind-AI.</w:t>
      </w:r>
    </w:p>
    <w:sectPr w:rsidR="00FC693F" w:rsidRPr="0006063C" w:rsidSect="00034616">
      <w:type w:val="continuous"/>
      <w:pgSz w:w="12240" w:h="15840"/>
      <w:pgMar w:top="864" w:right="936" w:bottom="864" w:left="936" w:header="720" w:footer="720" w:gutter="0"/>
      <w:docGrid w:linePitch="360"/>
      <w:cols w:num="2" w:space="360" w:sep="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