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Stock Analysis Summary</w:t>
      </w:r>
    </w:p>
    <w:p>
      <w:pPr>
        <w:pStyle w:val="Heading1"/>
      </w:pPr>
      <w:r>
        <w:t>Key Findings</w:t>
      </w:r>
    </w:p>
    <w:p>
      <w:r>
        <w:t>NVIDIA leads with 145.2% 1-year return, driven by AI infrastructure demand.</w:t>
      </w:r>
    </w:p>
    <w:p>
      <w:r>
        <w:t>Meta shows strong recovery with 112.4% 1-year return.</w:t>
      </w:r>
    </w:p>
    <w:p>
      <w:r>
        <w:t>All companies maintain strong balance sheets and positive analyst ratings.</w:t>
      </w:r>
    </w:p>
    <w:p>
      <w:pPr>
        <w:pStyle w:val="Heading1"/>
      </w:pPr>
      <w:r>
        <w:t>Recommendation</w:t>
      </w:r>
    </w:p>
    <w:p>
      <w:r>
        <w:t>Based on early 2026 data, NVIDIA and Meta present the highest growth potential, while Apple and Google offer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