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oogle Sans" w:hAnsi="Google Sans"/>
          <w:b/>
          <w:color w:val="1E5AA0"/>
          <w:sz w:val="52"/>
        </w:rPr>
        <w:t>Archival Design Proposal</w:t>
      </w:r>
    </w:p>
    <w:p>
      <w:r>
        <w:rPr>
          <w:rFonts w:ascii="Google Sans" w:hAnsi="Google Sans"/>
          <w:color w:val="646464"/>
          <w:sz w:val="26"/>
        </w:rPr>
        <w:t>PostgreSQL Archival Strategy — bud-core-DBOps-svc</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shd w:fill="1e5aa0"/>
          </w:tcPr>
          <w:p>
            <w:r/>
            <w:r>
              <w:rPr>
                <w:rFonts w:ascii="Google Sans" w:hAnsi="Google Sans"/>
                <w:b/>
                <w:color w:val="FFFFFF"/>
                <w:sz w:val="20"/>
              </w:rPr>
              <w:t>Field</w:t>
            </w:r>
          </w:p>
        </w:tc>
        <w:tc>
          <w:tcPr>
            <w:tcW w:type="dxa" w:w="4392"/>
            <w:shd w:fill="1e5aa0"/>
          </w:tcPr>
          <w:p>
            <w:r/>
            <w:r>
              <w:rPr>
                <w:rFonts w:ascii="Google Sans" w:hAnsi="Google Sans"/>
                <w:b/>
                <w:color w:val="FFFFFF"/>
                <w:sz w:val="20"/>
              </w:rPr>
              <w:t>Value</w:t>
            </w:r>
          </w:p>
        </w:tc>
      </w:tr>
      <w:tr>
        <w:tc>
          <w:tcPr>
            <w:tcW w:type="dxa" w:w="4392"/>
          </w:tcPr>
          <w:p>
            <w:r/>
            <w:r>
              <w:rPr>
                <w:rFonts w:ascii="Google Sans" w:hAnsi="Google Sans"/>
                <w:color w:val="000000"/>
                <w:sz w:val="20"/>
              </w:rPr>
              <w:t>Document Type</w:t>
            </w:r>
          </w:p>
        </w:tc>
        <w:tc>
          <w:tcPr>
            <w:tcW w:type="dxa" w:w="4392"/>
          </w:tcPr>
          <w:p>
            <w:r/>
            <w:r>
              <w:rPr>
                <w:rFonts w:ascii="Google Sans" w:hAnsi="Google Sans"/>
                <w:color w:val="000000"/>
                <w:sz w:val="20"/>
              </w:rPr>
              <w:t>Archival Design Document</w:t>
            </w:r>
          </w:p>
        </w:tc>
      </w:tr>
      <w:tr>
        <w:tc>
          <w:tcPr>
            <w:tcW w:type="dxa" w:w="4392"/>
            <w:shd w:fill="f2f7fc"/>
          </w:tcPr>
          <w:p>
            <w:r/>
            <w:r>
              <w:rPr>
                <w:rFonts w:ascii="Google Sans" w:hAnsi="Google Sans"/>
                <w:color w:val="000000"/>
                <w:sz w:val="20"/>
              </w:rPr>
              <w:t>Service</w:t>
            </w:r>
          </w:p>
        </w:tc>
        <w:tc>
          <w:tcPr>
            <w:tcW w:type="dxa" w:w="4392"/>
            <w:shd w:fill="f2f7fc"/>
          </w:tcPr>
          <w:p>
            <w:r/>
            <w:r>
              <w:rPr>
                <w:rFonts w:ascii="Google Sans" w:hAnsi="Google Sans"/>
                <w:color w:val="000000"/>
                <w:sz w:val="20"/>
              </w:rPr>
              <w:t>bud-core-DBOps-svc</w:t>
            </w:r>
          </w:p>
        </w:tc>
      </w:tr>
      <w:tr>
        <w:tc>
          <w:tcPr>
            <w:tcW w:type="dxa" w:w="4392"/>
          </w:tcPr>
          <w:p>
            <w:r/>
            <w:r>
              <w:rPr>
                <w:rFonts w:ascii="Google Sans" w:hAnsi="Google Sans"/>
                <w:color w:val="000000"/>
                <w:sz w:val="20"/>
              </w:rPr>
              <w:t>Strategy</w:t>
            </w:r>
          </w:p>
        </w:tc>
        <w:tc>
          <w:tcPr>
            <w:tcW w:type="dxa" w:w="4392"/>
          </w:tcPr>
          <w:p>
            <w:r/>
            <w:r>
              <w:rPr>
                <w:rFonts w:ascii="Google Sans" w:hAnsi="Google Sans"/>
                <w:color w:val="000000"/>
                <w:sz w:val="20"/>
              </w:rPr>
              <w:t>Logical Decoupling — Denormalized Snapshot exported via configurable target (Parquet to MinIO, CSV to MinIO, or External PostgreSQL Database)</w:t>
            </w:r>
          </w:p>
        </w:tc>
      </w:tr>
      <w:tr>
        <w:tc>
          <w:tcPr>
            <w:tcW w:type="dxa" w:w="4392"/>
            <w:shd w:fill="f2f7fc"/>
          </w:tcPr>
          <w:p>
            <w:r/>
            <w:r>
              <w:rPr>
                <w:rFonts w:ascii="Google Sans" w:hAnsi="Google Sans"/>
                <w:color w:val="000000"/>
                <w:sz w:val="20"/>
              </w:rPr>
              <w:t>Archive Trigger</w:t>
            </w:r>
          </w:p>
        </w:tc>
        <w:tc>
          <w:tcPr>
            <w:tcW w:type="dxa" w:w="4392"/>
            <w:shd w:fill="f2f7fc"/>
          </w:tcPr>
          <w:p>
            <w:r/>
            <w:r>
              <w:rPr>
                <w:rFonts w:ascii="Google Sans" w:hAnsi="Google Sans"/>
                <w:color w:val="000000"/>
                <w:sz w:val="20"/>
              </w:rPr>
              <w:t>Timerange column &lt; NOW() - INTERVAL 3 months</w:t>
            </w:r>
          </w:p>
        </w:tc>
      </w:tr>
      <w:tr>
        <w:tc>
          <w:tcPr>
            <w:tcW w:type="dxa" w:w="4392"/>
          </w:tcPr>
          <w:p>
            <w:r/>
            <w:r>
              <w:rPr>
                <w:rFonts w:ascii="Google Sans" w:hAnsi="Google Sans"/>
                <w:color w:val="000000"/>
                <w:sz w:val="20"/>
              </w:rPr>
              <w:t>Author</w:t>
            </w:r>
          </w:p>
        </w:tc>
        <w:tc>
          <w:tcPr>
            <w:tcW w:type="dxa" w:w="4392"/>
          </w:tcPr>
          <w:p>
            <w:r/>
            <w:r>
              <w:rPr>
                <w:rFonts w:ascii="Google Sans" w:hAnsi="Google Sans"/>
                <w:color w:val="000000"/>
                <w:sz w:val="20"/>
              </w:rPr>
              <w:t>Engineering</w:t>
            </w:r>
          </w:p>
        </w:tc>
      </w:tr>
      <w:tr>
        <w:tc>
          <w:tcPr>
            <w:tcW w:type="dxa" w:w="4392"/>
            <w:shd w:fill="f2f7fc"/>
          </w:tcPr>
          <w:p>
            <w:r/>
            <w:r>
              <w:rPr>
                <w:rFonts w:ascii="Google Sans" w:hAnsi="Google Sans"/>
                <w:color w:val="000000"/>
                <w:sz w:val="20"/>
              </w:rPr>
              <w:t>Status</w:t>
            </w:r>
          </w:p>
        </w:tc>
        <w:tc>
          <w:tcPr>
            <w:tcW w:type="dxa" w:w="4392"/>
            <w:shd w:fill="f2f7fc"/>
          </w:tcPr>
          <w:p>
            <w:r/>
            <w:r>
              <w:rPr>
                <w:rFonts w:ascii="Google Sans" w:hAnsi="Google Sans"/>
                <w:color w:val="000000"/>
                <w:sz w:val="20"/>
              </w:rPr>
              <w:t>Draft</w:t>
            </w:r>
          </w:p>
        </w:tc>
      </w:tr>
    </w:tbl>
    <w:p/>
    <w:p>
      <w:pPr>
        <w:spacing w:after="80"/>
      </w:pPr>
      <w:r>
        <w:rPr>
          <w:rFonts w:ascii="Google Sans" w:hAnsi="Google Sans"/>
          <w:b w:val="0"/>
          <w:color w:val="646464"/>
          <w:sz w:val="22"/>
        </w:rPr>
        <w:t>This document is made taking the leads data as an example. It will be expanded to more data sources / schemas in the near future.</w:t>
      </w:r>
    </w:p>
    <w:p>
      <w:pPr>
        <w:spacing w:before="480" w:after="160"/>
      </w:pPr>
      <w:r>
        <w:rPr>
          <w:rFonts w:ascii="Google Sans" w:hAnsi="Google Sans"/>
          <w:b/>
          <w:color w:val="1E5AA0"/>
          <w:sz w:val="40"/>
        </w:rPr>
        <w:t>1. Executive Summary</w:t>
      </w:r>
    </w:p>
    <w:p>
      <w:pPr>
        <w:spacing w:after="80"/>
      </w:pPr>
      <w:r>
        <w:rPr>
          <w:rFonts w:ascii="Google Sans" w:hAnsi="Google Sans"/>
          <w:b w:val="0"/>
          <w:color w:val="646464"/>
          <w:sz w:val="22"/>
        </w:rPr>
        <w:t>As the bud-core-DBOps-svc lead data grows, retaining all records indefinitely in the primary PostgreSQL instance creates performance, cost, and compliance risks. This document defines the Logical Decoupling Archival strategy — an approach that dissolves all relational foreign-key dependencies into a self-contained snapshot per lead before moving data out of Postgres.</w:t>
      </w:r>
    </w:p>
    <w:p>
      <w:pPr>
        <w:spacing w:after="80"/>
      </w:pPr>
      <w:r>
        <w:rPr>
          <w:rFonts w:ascii="Google Sans" w:hAnsi="Google Sans"/>
          <w:b w:val="0"/>
          <w:color w:val="646464"/>
          <w:sz w:val="22"/>
        </w:rPr>
        <w:t xml:space="preserve">The pipeline supports </w:t>
      </w:r>
      <w:r>
        <w:rPr>
          <w:rFonts w:ascii="Google Sans" w:hAnsi="Google Sans"/>
          <w:b/>
          <w:color w:val="646464"/>
          <w:sz w:val="22"/>
        </w:rPr>
        <w:t>three configurable export targets</w:t>
      </w:r>
      <w:r>
        <w:rPr>
          <w:rFonts w:ascii="Google Sans" w:hAnsi="Google Sans"/>
          <w:b w:val="0"/>
          <w:color w:val="646464"/>
          <w:sz w:val="22"/>
        </w:rPr>
        <w:t>:</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96"/>
        <w:gridCol w:w="2196"/>
        <w:gridCol w:w="2196"/>
        <w:gridCol w:w="2196"/>
      </w:tblGrid>
      <w:tr>
        <w:tc>
          <w:tcPr>
            <w:tcW w:type="dxa" w:w="2196"/>
            <w:shd w:fill="1e5aa0"/>
          </w:tcPr>
          <w:p>
            <w:r/>
            <w:r>
              <w:rPr>
                <w:rFonts w:ascii="Google Sans" w:hAnsi="Google Sans"/>
                <w:b/>
                <w:color w:val="FFFFFF"/>
                <w:sz w:val="20"/>
              </w:rPr>
              <w:t>#</w:t>
            </w:r>
          </w:p>
        </w:tc>
        <w:tc>
          <w:tcPr>
            <w:tcW w:type="dxa" w:w="2196"/>
            <w:shd w:fill="1e5aa0"/>
          </w:tcPr>
          <w:p>
            <w:r/>
            <w:r>
              <w:rPr>
                <w:rFonts w:ascii="Google Sans" w:hAnsi="Google Sans"/>
                <w:b/>
                <w:color w:val="FFFFFF"/>
                <w:sz w:val="20"/>
              </w:rPr>
              <w:t>Export Target</w:t>
            </w:r>
          </w:p>
        </w:tc>
        <w:tc>
          <w:tcPr>
            <w:tcW w:type="dxa" w:w="2196"/>
            <w:shd w:fill="1e5aa0"/>
          </w:tcPr>
          <w:p>
            <w:r/>
            <w:r>
              <w:rPr>
                <w:rFonts w:ascii="Google Sans" w:hAnsi="Google Sans"/>
                <w:b/>
                <w:color w:val="FFFFFF"/>
                <w:sz w:val="20"/>
              </w:rPr>
              <w:t>Destination</w:t>
            </w:r>
          </w:p>
        </w:tc>
        <w:tc>
          <w:tcPr>
            <w:tcW w:type="dxa" w:w="2196"/>
            <w:shd w:fill="1e5aa0"/>
          </w:tcPr>
          <w:p>
            <w:r/>
            <w:r>
              <w:rPr>
                <w:rFonts w:ascii="Google Sans" w:hAnsi="Google Sans"/>
                <w:b/>
                <w:color w:val="FFFFFF"/>
                <w:sz w:val="20"/>
              </w:rPr>
              <w:t>Best For</w:t>
            </w:r>
          </w:p>
        </w:tc>
      </w:tr>
      <w:tr>
        <w:tc>
          <w:tcPr>
            <w:tcW w:type="dxa" w:w="2196"/>
          </w:tcPr>
          <w:p>
            <w:r/>
            <w:r>
              <w:rPr>
                <w:rFonts w:ascii="Google Sans" w:hAnsi="Google Sans"/>
                <w:color w:val="000000"/>
                <w:sz w:val="20"/>
              </w:rPr>
              <w:t>1</w:t>
            </w:r>
          </w:p>
        </w:tc>
        <w:tc>
          <w:tcPr>
            <w:tcW w:type="dxa" w:w="2196"/>
          </w:tcPr>
          <w:p>
            <w:r/>
            <w:r>
              <w:rPr>
                <w:rFonts w:ascii="Google Sans" w:hAnsi="Google Sans"/>
                <w:color w:val="000000"/>
                <w:sz w:val="20"/>
              </w:rPr>
            </w:r>
            <w:r>
              <w:rPr>
                <w:rFonts w:ascii="Google Sans" w:hAnsi="Google Sans"/>
                <w:b/>
                <w:color w:val="000000"/>
                <w:sz w:val="20"/>
              </w:rPr>
              <w:t>Parquet</w:t>
            </w:r>
            <w:r>
              <w:rPr>
                <w:rFonts w:ascii="Google Sans" w:hAnsi="Google Sans"/>
                <w:color w:val="000000"/>
                <w:sz w:val="20"/>
              </w:rPr>
              <w:t xml:space="preserve"> (default)</w:t>
            </w:r>
          </w:p>
        </w:tc>
        <w:tc>
          <w:tcPr>
            <w:tcW w:type="dxa" w:w="2196"/>
          </w:tcPr>
          <w:p>
            <w:r/>
            <w:r>
              <w:rPr>
                <w:rFonts w:ascii="Google Sans" w:hAnsi="Google Sans"/>
                <w:color w:val="000000"/>
                <w:sz w:val="20"/>
              </w:rPr>
              <w:t>MinIO object storage</w:t>
            </w:r>
          </w:p>
        </w:tc>
        <w:tc>
          <w:tcPr>
            <w:tcW w:type="dxa" w:w="2196"/>
          </w:tcPr>
          <w:p>
            <w:r/>
            <w:r>
              <w:rPr>
                <w:rFonts w:ascii="Google Sans" w:hAnsi="Google Sans"/>
                <w:color w:val="000000"/>
                <w:sz w:val="20"/>
              </w:rPr>
              <w:t>Long-term analytics, columnar queries, maximum compression</w:t>
            </w:r>
          </w:p>
        </w:tc>
      </w:tr>
      <w:tr>
        <w:tc>
          <w:tcPr>
            <w:tcW w:type="dxa" w:w="2196"/>
            <w:shd w:fill="f2f7fc"/>
          </w:tcPr>
          <w:p>
            <w:r/>
            <w:r>
              <w:rPr>
                <w:rFonts w:ascii="Google Sans" w:hAnsi="Google Sans"/>
                <w:color w:val="000000"/>
                <w:sz w:val="20"/>
              </w:rPr>
              <w:t>2</w:t>
            </w:r>
          </w:p>
        </w:tc>
        <w:tc>
          <w:tcPr>
            <w:tcW w:type="dxa" w:w="2196"/>
            <w:shd w:fill="f2f7fc"/>
          </w:tcPr>
          <w:p>
            <w:r/>
            <w:r>
              <w:rPr>
                <w:rFonts w:ascii="Google Sans" w:hAnsi="Google Sans"/>
                <w:color w:val="000000"/>
                <w:sz w:val="20"/>
              </w:rPr>
            </w:r>
            <w:r>
              <w:rPr>
                <w:rFonts w:ascii="Google Sans" w:hAnsi="Google Sans"/>
                <w:b/>
                <w:color w:val="000000"/>
                <w:sz w:val="20"/>
              </w:rPr>
              <w:t>CSV</w:t>
            </w:r>
            <w:r>
              <w:rPr>
                <w:rFonts w:ascii="Google Sans" w:hAnsi="Google Sans"/>
                <w:color w:val="000000"/>
                <w:sz w:val="20"/>
              </w:rPr>
            </w:r>
          </w:p>
        </w:tc>
        <w:tc>
          <w:tcPr>
            <w:tcW w:type="dxa" w:w="2196"/>
            <w:shd w:fill="f2f7fc"/>
          </w:tcPr>
          <w:p>
            <w:r/>
            <w:r>
              <w:rPr>
                <w:rFonts w:ascii="Google Sans" w:hAnsi="Google Sans"/>
                <w:color w:val="000000"/>
                <w:sz w:val="20"/>
              </w:rPr>
              <w:t>MinIO object storage</w:t>
            </w:r>
          </w:p>
        </w:tc>
        <w:tc>
          <w:tcPr>
            <w:tcW w:type="dxa" w:w="2196"/>
            <w:shd w:fill="f2f7fc"/>
          </w:tcPr>
          <w:p>
            <w:r/>
            <w:r>
              <w:rPr>
                <w:rFonts w:ascii="Google Sans" w:hAnsi="Google Sans"/>
                <w:color w:val="000000"/>
                <w:sz w:val="20"/>
              </w:rPr>
              <w:t>Interoperability with external teams, spreadsheet tooling, simple audits</w:t>
            </w:r>
          </w:p>
        </w:tc>
      </w:tr>
      <w:tr>
        <w:tc>
          <w:tcPr>
            <w:tcW w:type="dxa" w:w="2196"/>
          </w:tcPr>
          <w:p>
            <w:r/>
            <w:r>
              <w:rPr>
                <w:rFonts w:ascii="Google Sans" w:hAnsi="Google Sans"/>
                <w:color w:val="000000"/>
                <w:sz w:val="20"/>
              </w:rPr>
              <w:t>3</w:t>
            </w:r>
          </w:p>
        </w:tc>
        <w:tc>
          <w:tcPr>
            <w:tcW w:type="dxa" w:w="2196"/>
          </w:tcPr>
          <w:p>
            <w:r/>
            <w:r>
              <w:rPr>
                <w:rFonts w:ascii="Google Sans" w:hAnsi="Google Sans"/>
                <w:color w:val="000000"/>
                <w:sz w:val="20"/>
              </w:rPr>
            </w:r>
            <w:r>
              <w:rPr>
                <w:rFonts w:ascii="Google Sans" w:hAnsi="Google Sans"/>
                <w:b/>
                <w:color w:val="000000"/>
                <w:sz w:val="20"/>
              </w:rPr>
              <w:t>External PostgreSQL Database</w:t>
            </w:r>
            <w:r>
              <w:rPr>
                <w:rFonts w:ascii="Google Sans" w:hAnsi="Google Sans"/>
                <w:color w:val="000000"/>
                <w:sz w:val="20"/>
              </w:rPr>
            </w:r>
          </w:p>
        </w:tc>
        <w:tc>
          <w:tcPr>
            <w:tcW w:type="dxa" w:w="2196"/>
          </w:tcPr>
          <w:p>
            <w:r/>
            <w:r>
              <w:rPr>
                <w:rFonts w:ascii="Google Sans" w:hAnsi="Google Sans"/>
                <w:color w:val="000000"/>
                <w:sz w:val="20"/>
              </w:rPr>
              <w:t>Dedicated external Postgres instance</w:t>
            </w:r>
          </w:p>
        </w:tc>
        <w:tc>
          <w:tcPr>
            <w:tcW w:type="dxa" w:w="2196"/>
          </w:tcPr>
          <w:p>
            <w:r/>
            <w:r>
              <w:rPr>
                <w:rFonts w:ascii="Google Sans" w:hAnsi="Google Sans"/>
                <w:color w:val="000000"/>
                <w:sz w:val="20"/>
              </w:rPr>
              <w:t>Relational queries against archived data, SQL-native consumers</w:t>
            </w:r>
          </w:p>
        </w:tc>
      </w:tr>
    </w:tbl>
    <w:p/>
    <w:p>
      <w:pPr>
        <w:spacing w:after="80"/>
      </w:pPr>
      <w:r>
        <w:rPr>
          <w:rFonts w:ascii="Google Sans" w:hAnsi="Google Sans"/>
          <w:b w:val="0"/>
          <w:color w:val="646464"/>
          <w:sz w:val="22"/>
        </w:rPr>
        <w:t>Once the snapshot is written and verified in the chosen export target, rows can be deleted from the primary Postgres instance cleanly with no FK violations, no partial states, and no dependency on any other table to make the archive readable in the future.</w:t>
      </w:r>
    </w:p>
    <w:tbl>
      <w:tblPr>
        <w:tblW w:type="auto" w:w="0"/>
        <w:tblLook w:firstColumn="1" w:firstRow="1" w:lastColumn="0" w:lastRow="0" w:noHBand="0" w:noVBand="1" w:val="04A0"/>
        <w:tblBorders>
          <w:top w:val="none" w:sz="0" w:space="0" w:color="auto"/>
          <w:left w:val="single" w:sz="12" w:space="0" w:color="286E50"/>
          <w:bottom w:val="none" w:sz="0" w:space="0" w:color="auto"/>
          <w:right w:val="none" w:sz="0" w:space="0" w:color="auto"/>
        </w:tblBorders>
      </w:tblPr>
      <w:tblGrid>
        <w:gridCol w:w="8784"/>
      </w:tblGrid>
      <w:tr>
        <w:tc>
          <w:tcPr>
            <w:tcW w:type="dxa" w:w="8784"/>
            <w:shd w:fill="e8f4ec"/>
          </w:tcPr>
          <w:p>
            <w:r/>
            <w:r>
              <w:rPr>
                <w:rFonts w:ascii="Google Sans" w:hAnsi="Google Sans"/>
                <w:b/>
                <w:color w:val="1E5032"/>
                <w:sz w:val="21"/>
              </w:rPr>
              <w:t xml:space="preserve">Core principle: </w:t>
            </w:r>
            <w:r>
              <w:rPr>
                <w:rFonts w:ascii="Google Sans" w:hAnsi="Google Sans"/>
                <w:color w:val="1E5032"/>
                <w:sz w:val="21"/>
              </w:rPr>
              <w:t xml:space="preserve">  Copy values, not keys. Every reference (closure reason, agent name, product type) is resolved to its human-readable label at archive time. The envelope needs nothing from Postgres to be meaningful two years from now.</w:t>
            </w:r>
          </w:p>
        </w:tc>
      </w:tr>
    </w:tbl>
    <w:p/>
    <w:p>
      <w:pPr>
        <w:spacing w:before="320" w:after="120"/>
      </w:pPr>
      <w:r>
        <w:rPr>
          <w:rFonts w:ascii="Google Sans" w:hAnsi="Google Sans"/>
          <w:b/>
          <w:color w:val="286E50"/>
          <w:sz w:val="28"/>
        </w:rPr>
        <w:t>Key Design Decisions</w:t>
      </w:r>
    </w:p>
    <w:p>
      <w:pPr>
        <w:spacing w:after="40"/>
        <w:ind w:left="504" w:hanging="288"/>
      </w:pPr>
      <w:r>
        <w:rPr>
          <w:rFonts w:ascii="Google Sans" w:hAnsi="Google Sans"/>
          <w:color w:val="646464"/>
          <w:sz w:val="22"/>
        </w:rPr>
        <w:t>• Root entity is the Lead — all children are archived together as one envelope</w:t>
      </w:r>
    </w:p>
    <w:p>
      <w:pPr>
        <w:spacing w:after="40"/>
        <w:ind w:left="504" w:hanging="288"/>
      </w:pPr>
      <w:r>
        <w:rPr>
          <w:rFonts w:ascii="Google Sans" w:hAnsi="Google Sans"/>
          <w:color w:val="646464"/>
          <w:sz w:val="22"/>
        </w:rPr>
        <w:t>• 3-month age threshold after closure, with masking and purging as prerequisites</w:t>
      </w:r>
    </w:p>
    <w:p>
      <w:pPr>
        <w:spacing w:after="40"/>
        <w:ind w:left="504" w:hanging="288"/>
      </w:pPr>
      <w:r>
        <w:rPr>
          <w:rFonts w:ascii="Google Sans" w:hAnsi="Google Sans"/>
          <w:color w:val="646464"/>
          <w:sz w:val="22"/>
        </w:rPr>
        <w:t xml:space="preserve">• </w:t>
      </w:r>
      <w:r>
        <w:rPr>
          <w:rFonts w:ascii="Google Sans" w:hAnsi="Google Sans"/>
          <w:b/>
          <w:color w:val="646464"/>
          <w:sz w:val="22"/>
        </w:rPr>
        <w:t>Configurable export target</w:t>
      </w:r>
      <w:r>
        <w:rPr>
          <w:rFonts w:ascii="Google Sans" w:hAnsi="Google Sans"/>
          <w:color w:val="646464"/>
          <w:sz w:val="22"/>
        </w:rPr>
        <w:t xml:space="preserve"> — Parquet (default), CSV, or External PostgreSQL Database</w:t>
      </w:r>
    </w:p>
    <w:p>
      <w:pPr>
        <w:spacing w:after="40"/>
        <w:ind w:left="504" w:hanging="288"/>
      </w:pPr>
      <w:r>
        <w:rPr>
          <w:rFonts w:ascii="Google Sans" w:hAnsi="Google Sans"/>
          <w:color w:val="646464"/>
          <w:sz w:val="22"/>
        </w:rPr>
        <w:t>• Parquet/CSV: Hive-partitioned folder layout in MinIO for efficient time-range queries</w:t>
      </w:r>
    </w:p>
    <w:p>
      <w:pPr>
        <w:spacing w:after="40"/>
        <w:ind w:left="504" w:hanging="288"/>
      </w:pPr>
      <w:r>
        <w:rPr>
          <w:rFonts w:ascii="Google Sans" w:hAnsi="Google Sans"/>
          <w:color w:val="646464"/>
          <w:sz w:val="22"/>
        </w:rPr>
        <w:t>• External DB: Dedicated archive schema on a separate Postgres instance for SQL-native access</w:t>
      </w:r>
    </w:p>
    <w:p>
      <w:pPr>
        <w:spacing w:after="40"/>
        <w:ind w:left="504" w:hanging="288"/>
      </w:pPr>
      <w:r>
        <w:rPr>
          <w:rFonts w:ascii="Google Sans" w:hAnsi="Google Sans"/>
          <w:color w:val="646464"/>
          <w:sz w:val="22"/>
        </w:rPr>
        <w:t>• Permanent archival_manifest table in primary Postgres as the index into all archives regardless of export target</w:t>
      </w:r>
    </w:p>
    <w:p>
      <w:pPr>
        <w:spacing w:after="40"/>
        <w:ind w:left="504" w:hanging="288"/>
      </w:pPr>
      <w:r>
        <w:rPr>
          <w:rFonts w:ascii="Google Sans" w:hAnsi="Google Sans"/>
          <w:color w:val="646464"/>
          <w:sz w:val="22"/>
        </w:rPr>
        <w:t>• Deletion order: leaves before root — deepest children deleted first</w:t>
      </w:r>
    </w:p>
    <w:p>
      <w:pPr>
        <w:spacing w:after="40"/>
        <w:ind w:left="504" w:hanging="288"/>
      </w:pPr>
      <w:r>
        <w:rPr>
          <w:rFonts w:ascii="Google Sans" w:hAnsi="Google Sans"/>
          <w:color w:val="646464"/>
          <w:sz w:val="22"/>
        </w:rPr>
        <w:t>• Idempotent pipeline — safe to re-run at any stage without data loss</w:t>
      </w:r>
    </w:p>
    <w:p>
      <w:pPr>
        <w:spacing w:before="480" w:after="160"/>
      </w:pPr>
      <w:r>
        <w:rPr>
          <w:rFonts w:ascii="Google Sans" w:hAnsi="Google Sans"/>
          <w:b/>
          <w:color w:val="1E5AA0"/>
          <w:sz w:val="40"/>
        </w:rPr>
        <w:t>2. The Archival Unit</w:t>
      </w:r>
    </w:p>
    <w:p>
      <w:pPr>
        <w:spacing w:after="80"/>
      </w:pPr>
      <w:r>
        <w:rPr>
          <w:rFonts w:ascii="Google Sans" w:hAnsi="Google Sans"/>
          <w:b w:val="0"/>
          <w:color w:val="646464"/>
          <w:sz w:val="22"/>
        </w:rPr>
        <w:t>The archival unit is a single Lead and everything hanging off it. All child records are embedded inside the envelope — there are no remaining foreign key references after denormalization.</w:t>
      </w:r>
    </w:p>
    <w:p>
      <w:pPr>
        <w:spacing w:before="320" w:after="120"/>
      </w:pPr>
      <w:r>
        <w:rPr>
          <w:rFonts w:ascii="Google Sans" w:hAnsi="Google Sans"/>
          <w:b/>
          <w:color w:val="286E50"/>
          <w:sz w:val="28"/>
        </w:rPr>
        <w:t>Envelope Structure</w:t>
      </w:r>
    </w:p>
    <w:p>
      <w:pPr>
        <w:spacing w:after="80"/>
      </w:pPr>
      <w:r>
        <w:rPr>
          <w:rFonts w:ascii="Google Sans" w:hAnsi="Google Sans"/>
          <w:b w:val="0"/>
          <w:color w:val="646464"/>
          <w:sz w:val="22"/>
        </w:rPr>
        <w:t>Archive envelope for LEAD-1001</w:t>
      </w:r>
    </w:p>
    <w:p>
      <w:pPr>
        <w:spacing w:after="0"/>
        <w:ind w:left="432"/>
      </w:pPr>
      <w:r>
        <w:rPr>
          <w:rFonts w:ascii="Courier New" w:hAnsi="Courier New"/>
          <w:color w:val="646464"/>
          <w:sz w:val="20"/>
        </w:rPr>
        <w:t>├── Lead fields            (closure_reason as label, not FK id)</w:t>
      </w:r>
    </w:p>
    <w:p>
      <w:pPr>
        <w:spacing w:after="0"/>
        <w:ind w:left="432"/>
      </w:pPr>
      <w:r>
        <w:rPr>
          <w:rFonts w:ascii="Courier New" w:hAnsi="Courier New"/>
          <w:color w:val="646464"/>
          <w:sz w:val="20"/>
        </w:rPr>
        <w:t>├── Customer snapshot      (region, segment — not a live FK)</w:t>
      </w:r>
    </w:p>
    <w:p>
      <w:pPr>
        <w:spacing w:after="0"/>
        <w:ind w:left="432"/>
      </w:pPr>
      <w:r>
        <w:rPr>
          <w:rFonts w:ascii="Courier New" w:hAnsi="Courier New"/>
          <w:color w:val="646464"/>
          <w:sz w:val="20"/>
        </w:rPr>
        <w:t>├── Agent snapshot         (name, team at time of closure)</w:t>
      </w:r>
    </w:p>
    <w:p>
      <w:pPr>
        <w:spacing w:after="0"/>
        <w:ind w:left="432"/>
      </w:pPr>
      <w:r>
        <w:rPr>
          <w:rFonts w:ascii="Courier New" w:hAnsi="Courier New"/>
          <w:color w:val="646464"/>
          <w:sz w:val="20"/>
        </w:rPr>
        <w:t>├── lead_documents[]       (full array, embedded)</w:t>
      </w:r>
    </w:p>
    <w:p>
      <w:pPr>
        <w:spacing w:after="0"/>
        <w:ind w:left="432"/>
      </w:pPr>
      <w:r>
        <w:rPr>
          <w:rFonts w:ascii="Courier New" w:hAnsi="Courier New"/>
          <w:color w:val="646464"/>
          <w:sz w:val="20"/>
        </w:rPr>
        <w:t>├── lead_activities[]      (full array, embedded)</w:t>
      </w:r>
    </w:p>
    <w:p>
      <w:pPr>
        <w:spacing w:after="0"/>
        <w:ind w:left="432"/>
      </w:pPr>
      <w:r>
        <w:rPr>
          <w:rFonts w:ascii="Courier New" w:hAnsi="Courier New"/>
          <w:color w:val="646464"/>
          <w:sz w:val="20"/>
        </w:rPr>
        <w:t>├── lead_assignments[]     (full array, embedded)</w:t>
      </w:r>
    </w:p>
    <w:p>
      <w:pPr>
        <w:spacing w:after="0"/>
        <w:ind w:left="432"/>
      </w:pPr>
      <w:r>
        <w:rPr>
          <w:rFonts w:ascii="Courier New" w:hAnsi="Courier New"/>
          <w:color w:val="646464"/>
          <w:sz w:val="20"/>
        </w:rPr>
        <w:t>└── payments[]</w:t>
      </w:r>
    </w:p>
    <w:p>
      <w:pPr>
        <w:spacing w:after="0"/>
        <w:ind w:left="432"/>
      </w:pPr>
      <w:r>
        <w:rPr>
          <w:rFonts w:ascii="Courier New" w:hAnsi="Courier New"/>
          <w:color w:val="646464"/>
          <w:sz w:val="20"/>
        </w:rPr>
        <w:t xml:space="preserve">        └── line_items[]   (fully nested)</w:t>
      </w:r>
    </w:p>
    <w:p>
      <w:pPr>
        <w:spacing w:before="320" w:after="120"/>
      </w:pPr>
      <w:r>
        <w:rPr>
          <w:rFonts w:ascii="Google Sans" w:hAnsi="Google Sans"/>
          <w:b/>
          <w:color w:val="286E50"/>
          <w:sz w:val="28"/>
        </w:rPr>
        <w:t>Why Denormalize Reference Data</w:t>
      </w:r>
    </w:p>
    <w:p>
      <w:pPr>
        <w:spacing w:after="80"/>
      </w:pPr>
      <w:r>
        <w:rPr>
          <w:rFonts w:ascii="Google Sans" w:hAnsi="Google Sans"/>
          <w:b w:val="0"/>
          <w:color w:val="646464"/>
          <w:sz w:val="22"/>
        </w:rPr>
        <w:t>Tables such as closure_reasons, product_types, and agents are operational — they must stay in Postgres. The archive cannot FK-depend on them. The solution is to copy the human-readable value at archive time: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shd w:fill="1e5aa0"/>
          </w:tcPr>
          <w:p>
            <w:r/>
            <w:r>
              <w:rPr>
                <w:rFonts w:ascii="Google Sans" w:hAnsi="Google Sans"/>
                <w:b/>
                <w:color w:val="FFFFFF"/>
                <w:sz w:val="20"/>
              </w:rPr>
              <w:t>Instead of archiving</w:t>
            </w:r>
          </w:p>
        </w:tc>
        <w:tc>
          <w:tcPr>
            <w:tcW w:type="dxa" w:w="4392"/>
            <w:shd w:fill="1e5aa0"/>
          </w:tcPr>
          <w:p>
            <w:r/>
            <w:r>
              <w:rPr>
                <w:rFonts w:ascii="Google Sans" w:hAnsi="Google Sans"/>
                <w:b/>
                <w:color w:val="FFFFFF"/>
                <w:sz w:val="20"/>
              </w:rPr>
              <w:t>Archive this instead</w:t>
            </w:r>
          </w:p>
        </w:tc>
      </w:tr>
      <w:tr>
        <w:tc>
          <w:tcPr>
            <w:tcW w:type="dxa" w:w="4392"/>
          </w:tcPr>
          <w:p>
            <w:r/>
            <w:r>
              <w:rPr>
                <w:rFonts w:ascii="Google Sans" w:hAnsi="Google Sans"/>
                <w:color w:val="000000"/>
                <w:sz w:val="20"/>
              </w:rPr>
              <w:t>closure_reason_id = 7</w:t>
            </w:r>
          </w:p>
        </w:tc>
        <w:tc>
          <w:tcPr>
            <w:tcW w:type="dxa" w:w="4392"/>
          </w:tcPr>
          <w:p>
            <w:r/>
            <w:r>
              <w:rPr>
                <w:rFonts w:ascii="Google Sans" w:hAnsi="Google Sans"/>
                <w:color w:val="000000"/>
                <w:sz w:val="20"/>
              </w:rPr>
              <w:t>closure_reason = "Customer Request — Repaid"</w:t>
            </w:r>
          </w:p>
        </w:tc>
      </w:tr>
      <w:tr>
        <w:tc>
          <w:tcPr>
            <w:tcW w:type="dxa" w:w="4392"/>
            <w:shd w:fill="f2f7fc"/>
          </w:tcPr>
          <w:p>
            <w:r/>
            <w:r>
              <w:rPr>
                <w:rFonts w:ascii="Google Sans" w:hAnsi="Google Sans"/>
                <w:color w:val="000000"/>
                <w:sz w:val="20"/>
              </w:rPr>
              <w:t>product_type_id = 3</w:t>
            </w:r>
          </w:p>
        </w:tc>
        <w:tc>
          <w:tcPr>
            <w:tcW w:type="dxa" w:w="4392"/>
            <w:shd w:fill="f2f7fc"/>
          </w:tcPr>
          <w:p>
            <w:r/>
            <w:r>
              <w:rPr>
                <w:rFonts w:ascii="Google Sans" w:hAnsi="Google Sans"/>
                <w:color w:val="000000"/>
                <w:sz w:val="20"/>
              </w:rPr>
              <w:t>product_type = "Personal Loan"</w:t>
            </w:r>
          </w:p>
        </w:tc>
      </w:tr>
      <w:tr>
        <w:tc>
          <w:tcPr>
            <w:tcW w:type="dxa" w:w="4392"/>
          </w:tcPr>
          <w:p>
            <w:r/>
            <w:r>
              <w:rPr>
                <w:rFonts w:ascii="Google Sans" w:hAnsi="Google Sans"/>
                <w:color w:val="000000"/>
                <w:sz w:val="20"/>
              </w:rPr>
              <w:t>agent_id = 456</w:t>
            </w:r>
          </w:p>
        </w:tc>
        <w:tc>
          <w:tcPr>
            <w:tcW w:type="dxa" w:w="4392"/>
          </w:tcPr>
          <w:p>
            <w:r/>
            <w:r>
              <w:rPr>
                <w:rFonts w:ascii="Google Sans" w:hAnsi="Google Sans"/>
                <w:color w:val="000000"/>
                <w:sz w:val="20"/>
              </w:rPr>
              <w:t>agent_name = "Ravi Kumar", agent_team = "Collections"</w:t>
            </w:r>
          </w:p>
        </w:tc>
      </w:tr>
    </w:tbl>
    <w:p/>
    <w:p>
      <w:pPr>
        <w:spacing w:after="80"/>
      </w:pPr>
      <w:r>
        <w:rPr>
          <w:rFonts w:ascii="Google Sans" w:hAnsi="Google Sans"/>
          <w:b w:val="0"/>
          <w:color w:val="646464"/>
          <w:sz w:val="22"/>
        </w:rPr>
        <w:t>The schema_version field is stamped onto every envelope so that readers know which shape to expect, even after Postgres schema migrations.</w:t>
      </w:r>
    </w:p>
    <w:p>
      <w:pPr>
        <w:spacing w:before="480" w:after="160"/>
      </w:pPr>
      <w:r>
        <w:rPr>
          <w:rFonts w:ascii="Google Sans" w:hAnsi="Google Sans"/>
          <w:b/>
          <w:color w:val="1E5AA0"/>
          <w:sz w:val="40"/>
        </w:rPr>
        <w:t>3. Eligibility Criteria</w:t>
      </w:r>
    </w:p>
    <w:p>
      <w:pPr>
        <w:spacing w:after="80"/>
      </w:pPr>
      <w:r>
        <w:rPr>
          <w:rFonts w:ascii="Google Sans" w:hAnsi="Google Sans"/>
          <w:b w:val="0"/>
          <w:color w:val="646464"/>
          <w:sz w:val="22"/>
        </w:rPr>
        <w:t>A lead qualifies for archival when all of the following conditions are simultaneously true: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28"/>
        <w:gridCol w:w="2928"/>
        <w:gridCol w:w="2928"/>
      </w:tblGrid>
      <w:tr>
        <w:tc>
          <w:tcPr>
            <w:tcW w:type="dxa" w:w="2928"/>
            <w:shd w:fill="1e5aa0"/>
          </w:tcPr>
          <w:p>
            <w:r/>
            <w:r>
              <w:rPr>
                <w:rFonts w:ascii="Google Sans" w:hAnsi="Google Sans"/>
                <w:b/>
                <w:color w:val="FFFFFF"/>
                <w:sz w:val="20"/>
              </w:rPr>
              <w:t>Condition</w:t>
            </w:r>
          </w:p>
        </w:tc>
        <w:tc>
          <w:tcPr>
            <w:tcW w:type="dxa" w:w="2928"/>
            <w:shd w:fill="1e5aa0"/>
          </w:tcPr>
          <w:p>
            <w:r/>
            <w:r>
              <w:rPr>
                <w:rFonts w:ascii="Google Sans" w:hAnsi="Google Sans"/>
                <w:b/>
                <w:color w:val="FFFFFF"/>
                <w:sz w:val="20"/>
              </w:rPr>
              <w:t>Column / Check</w:t>
            </w:r>
          </w:p>
        </w:tc>
        <w:tc>
          <w:tcPr>
            <w:tcW w:type="dxa" w:w="2928"/>
            <w:shd w:fill="1e5aa0"/>
          </w:tcPr>
          <w:p>
            <w:r/>
            <w:r>
              <w:rPr>
                <w:rFonts w:ascii="Google Sans" w:hAnsi="Google Sans"/>
                <w:b/>
                <w:color w:val="FFFFFF"/>
                <w:sz w:val="20"/>
              </w:rPr>
              <w:t>Reason</w:t>
            </w:r>
          </w:p>
        </w:tc>
      </w:tr>
      <w:tr>
        <w:tc>
          <w:tcPr>
            <w:tcW w:type="dxa" w:w="2928"/>
          </w:tcPr>
          <w:p>
            <w:r/>
            <w:r>
              <w:rPr>
                <w:rFonts w:ascii="Google Sans" w:hAnsi="Google Sans"/>
                <w:color w:val="000000"/>
                <w:sz w:val="20"/>
              </w:rPr>
              <w:t>Closed at least 3 months ago</w:t>
            </w:r>
          </w:p>
        </w:tc>
        <w:tc>
          <w:tcPr>
            <w:tcW w:type="dxa" w:w="2928"/>
          </w:tcPr>
          <w:p>
            <w:r/>
            <w:r>
              <w:rPr>
                <w:rFonts w:ascii="Google Sans" w:hAnsi="Google Sans"/>
                <w:color w:val="000000"/>
                <w:sz w:val="20"/>
              </w:rPr>
              <w:t>closed_at &lt; NOW() - INTERVAL '3 months'</w:t>
            </w:r>
          </w:p>
        </w:tc>
        <w:tc>
          <w:tcPr>
            <w:tcW w:type="dxa" w:w="2928"/>
          </w:tcPr>
          <w:p>
            <w:r/>
            <w:r>
              <w:rPr>
                <w:rFonts w:ascii="Google Sans" w:hAnsi="Google Sans"/>
                <w:color w:val="000000"/>
                <w:sz w:val="20"/>
              </w:rPr>
              <w:t>Business rule — data must be inactive</w:t>
            </w:r>
          </w:p>
        </w:tc>
      </w:tr>
      <w:tr>
        <w:tc>
          <w:tcPr>
            <w:tcW w:type="dxa" w:w="2928"/>
            <w:shd w:fill="f2f7fc"/>
          </w:tcPr>
          <w:p>
            <w:r/>
            <w:r>
              <w:rPr>
                <w:rFonts w:ascii="Google Sans" w:hAnsi="Google Sans"/>
                <w:color w:val="000000"/>
                <w:sz w:val="20"/>
              </w:rPr>
              <w:t>PII has been masked</w:t>
            </w:r>
          </w:p>
        </w:tc>
        <w:tc>
          <w:tcPr>
            <w:tcW w:type="dxa" w:w="2928"/>
            <w:shd w:fill="f2f7fc"/>
          </w:tcPr>
          <w:p>
            <w:r/>
            <w:r>
              <w:rPr>
                <w:rFonts w:ascii="Google Sans" w:hAnsi="Google Sans"/>
                <w:color w:val="000000"/>
                <w:sz w:val="20"/>
              </w:rPr>
              <w:t>pii_masked = TRUE</w:t>
            </w:r>
          </w:p>
        </w:tc>
        <w:tc>
          <w:tcPr>
            <w:tcW w:type="dxa" w:w="2928"/>
            <w:shd w:fill="f2f7fc"/>
          </w:tcPr>
          <w:p>
            <w:r/>
            <w:r>
              <w:rPr>
                <w:rFonts w:ascii="Google Sans" w:hAnsi="Google Sans"/>
                <w:color w:val="000000"/>
                <w:sz w:val="20"/>
              </w:rPr>
              <w:t>Compliance prerequisite — must mask before archive</w:t>
            </w:r>
          </w:p>
        </w:tc>
      </w:tr>
      <w:tr>
        <w:tc>
          <w:tcPr>
            <w:tcW w:type="dxa" w:w="2928"/>
          </w:tcPr>
          <w:p>
            <w:r/>
            <w:r>
              <w:rPr>
                <w:rFonts w:ascii="Google Sans" w:hAnsi="Google Sans"/>
                <w:color w:val="000000"/>
                <w:sz w:val="20"/>
              </w:rPr>
              <w:t>Purging is complete</w:t>
            </w:r>
          </w:p>
        </w:tc>
        <w:tc>
          <w:tcPr>
            <w:tcW w:type="dxa" w:w="2928"/>
          </w:tcPr>
          <w:p>
            <w:r/>
            <w:r>
              <w:rPr>
                <w:rFonts w:ascii="Google Sans" w:hAnsi="Google Sans"/>
                <w:color w:val="000000"/>
                <w:sz w:val="20"/>
              </w:rPr>
              <w:t>purged_at IS NOT NULL</w:t>
            </w:r>
          </w:p>
        </w:tc>
        <w:tc>
          <w:tcPr>
            <w:tcW w:type="dxa" w:w="2928"/>
          </w:tcPr>
          <w:p>
            <w:r/>
            <w:r>
              <w:rPr>
                <w:rFonts w:ascii="Google Sans" w:hAnsi="Google Sans"/>
                <w:color w:val="000000"/>
                <w:sz w:val="20"/>
              </w:rPr>
              <w:t>Data lifecycle prerequisite</w:t>
            </w:r>
          </w:p>
        </w:tc>
      </w:tr>
      <w:tr>
        <w:tc>
          <w:tcPr>
            <w:tcW w:type="dxa" w:w="2928"/>
            <w:shd w:fill="f2f7fc"/>
          </w:tcPr>
          <w:p>
            <w:r/>
            <w:r>
              <w:rPr>
                <w:rFonts w:ascii="Google Sans" w:hAnsi="Google Sans"/>
                <w:color w:val="000000"/>
                <w:sz w:val="20"/>
              </w:rPr>
              <w:t>No active sibling leads</w:t>
            </w:r>
          </w:p>
        </w:tc>
        <w:tc>
          <w:tcPr>
            <w:tcW w:type="dxa" w:w="2928"/>
            <w:shd w:fill="f2f7fc"/>
          </w:tcPr>
          <w:p>
            <w:r/>
            <w:r>
              <w:rPr>
                <w:rFonts w:ascii="Google Sans" w:hAnsi="Google Sans"/>
                <w:color w:val="000000"/>
                <w:sz w:val="20"/>
              </w:rPr>
              <w:t>Customer has no other active leads</w:t>
            </w:r>
          </w:p>
        </w:tc>
        <w:tc>
          <w:tcPr>
            <w:tcW w:type="dxa" w:w="2928"/>
            <w:shd w:fill="f2f7fc"/>
          </w:tcPr>
          <w:p>
            <w:r/>
            <w:r>
              <w:rPr>
                <w:rFonts w:ascii="Google Sans" w:hAnsi="Google Sans"/>
                <w:color w:val="000000"/>
                <w:sz w:val="20"/>
              </w:rPr>
              <w:t>Cannot orphan shared customer row</w:t>
            </w:r>
          </w:p>
        </w:tc>
      </w:tr>
      <w:tr>
        <w:tc>
          <w:tcPr>
            <w:tcW w:type="dxa" w:w="2928"/>
          </w:tcPr>
          <w:p>
            <w:r/>
            <w:r>
              <w:rPr>
                <w:rFonts w:ascii="Google Sans" w:hAnsi="Google Sans"/>
                <w:color w:val="000000"/>
                <w:sz w:val="20"/>
              </w:rPr>
              <w:t>No open payments</w:t>
            </w:r>
          </w:p>
        </w:tc>
        <w:tc>
          <w:tcPr>
            <w:tcW w:type="dxa" w:w="2928"/>
          </w:tcPr>
          <w:p>
            <w:r/>
            <w:r>
              <w:rPr>
                <w:rFonts w:ascii="Google Sans" w:hAnsi="Google Sans"/>
                <w:color w:val="000000"/>
                <w:sz w:val="20"/>
              </w:rPr>
              <w:t>All payments in terminal state</w:t>
            </w:r>
          </w:p>
        </w:tc>
        <w:tc>
          <w:tcPr>
            <w:tcW w:type="dxa" w:w="2928"/>
          </w:tcPr>
          <w:p>
            <w:r/>
            <w:r>
              <w:rPr>
                <w:rFonts w:ascii="Google Sans" w:hAnsi="Google Sans"/>
                <w:color w:val="000000"/>
                <w:sz w:val="20"/>
              </w:rPr>
              <w:t>No dangling financial records</w:t>
            </w:r>
          </w:p>
        </w:tc>
      </w:tr>
    </w:tbl>
    <w:p/>
    <w:tbl>
      <w:tblPr>
        <w:tblW w:type="auto" w:w="0"/>
        <w:tblLook w:firstColumn="1" w:firstRow="1" w:lastColumn="0" w:lastRow="0" w:noHBand="0" w:noVBand="1" w:val="04A0"/>
        <w:tblBorders>
          <w:top w:val="none" w:sz="0" w:space="0" w:color="auto"/>
          <w:left w:val="single" w:sz="12" w:space="0" w:color="286E50"/>
          <w:bottom w:val="none" w:sz="0" w:space="0" w:color="auto"/>
          <w:right w:val="none" w:sz="0" w:space="0" w:color="auto"/>
        </w:tblBorders>
      </w:tblPr>
      <w:tblGrid>
        <w:gridCol w:w="8784"/>
      </w:tblGrid>
      <w:tr>
        <w:tc>
          <w:tcPr>
            <w:tcW w:type="dxa" w:w="8784"/>
            <w:shd w:fill="fff8e1"/>
          </w:tcPr>
          <w:p>
            <w:r/>
            <w:r>
              <w:rPr>
                <w:rFonts w:ascii="Google Sans" w:hAnsi="Google Sans"/>
                <w:b/>
                <w:color w:val="1E5032"/>
                <w:sz w:val="21"/>
              </w:rPr>
              <w:t xml:space="preserve">Important: </w:t>
            </w:r>
            <w:r>
              <w:rPr>
                <w:rFonts w:ascii="Google Sans" w:hAnsi="Google Sans"/>
                <w:color w:val="1E5032"/>
                <w:sz w:val="21"/>
              </w:rPr>
              <w:t xml:space="preserve">  The eligibility rule must be immutable once set in production. Changing it mid-flight risks gaps (leads that fall between two rule versions) or double-archival. Rules live in the task configuration YAML, consistent with the existing DBOps-svc pattern.</w:t>
            </w:r>
          </w:p>
        </w:tc>
      </w:tr>
    </w:tbl>
    <w:p/>
    <w:p>
      <w:pPr>
        <w:spacing w:before="480" w:after="160"/>
      </w:pPr>
      <w:r>
        <w:rPr>
          <w:rFonts w:ascii="Google Sans" w:hAnsi="Google Sans"/>
          <w:b/>
          <w:color w:val="1E5AA0"/>
          <w:sz w:val="40"/>
        </w:rPr>
        <w:t>4. Pipeline Phases</w:t>
      </w:r>
    </w:p>
    <w:p>
      <w:pPr>
        <w:spacing w:after="80"/>
      </w:pPr>
      <w:r>
        <w:rPr>
          <w:rFonts w:ascii="Google Sans" w:hAnsi="Google Sans"/>
          <w:b w:val="0"/>
          <w:color w:val="646464"/>
          <w:sz w:val="22"/>
        </w:rPr>
        <w:t>The archival pipeline runs as a scheduled Airflow DAG (weekly, Sunday early morning). It processes leads in batches of 500. Each phase is independently transactional and the entire pipeline is idempotent — it is safe to re-run at any point.</w:t>
      </w:r>
    </w:p>
    <w:p>
      <w:pPr>
        <w:spacing w:before="320" w:after="120"/>
      </w:pPr>
      <w:r>
        <w:rPr>
          <w:rFonts w:ascii="Google Sans" w:hAnsi="Google Sans"/>
          <w:b/>
          <w:color w:val="286E50"/>
          <w:sz w:val="28"/>
        </w:rPr>
        <w:t>Phase 1 — Identify and Validate</w:t>
      </w:r>
    </w:p>
    <w:p>
      <w:pPr>
        <w:spacing w:after="80"/>
      </w:pPr>
      <w:r>
        <w:rPr>
          <w:rFonts w:ascii="Google Sans" w:hAnsi="Google Sans"/>
          <w:b w:val="0"/>
          <w:color w:val="646464"/>
          <w:sz w:val="22"/>
        </w:rPr>
        <w:t>The DAG queries eligible leads in batches. For each batch, a blocking-relationship check runs before any data is read or written:</w:t>
      </w:r>
    </w:p>
    <w:p>
      <w:pPr>
        <w:spacing w:after="40"/>
        <w:ind w:left="504" w:hanging="288"/>
      </w:pPr>
      <w:r>
        <w:rPr>
          <w:rFonts w:ascii="Google Sans" w:hAnsi="Google Sans"/>
          <w:color w:val="646464"/>
          <w:sz w:val="22"/>
        </w:rPr>
        <w:t>• Query leads matching all eligibility criteria</w:t>
      </w:r>
    </w:p>
    <w:p>
      <w:pPr>
        <w:spacing w:after="40"/>
        <w:ind w:left="504" w:hanging="288"/>
      </w:pPr>
      <w:r>
        <w:rPr>
          <w:rFonts w:ascii="Google Sans" w:hAnsi="Google Sans"/>
          <w:color w:val="646464"/>
          <w:sz w:val="22"/>
        </w:rPr>
        <w:t>• For each lead, verify no active siblings under the same customer</w:t>
      </w:r>
    </w:p>
    <w:p>
      <w:pPr>
        <w:spacing w:after="40"/>
        <w:ind w:left="504" w:hanging="288"/>
      </w:pPr>
      <w:r>
        <w:rPr>
          <w:rFonts w:ascii="Google Sans" w:hAnsi="Google Sans"/>
          <w:color w:val="646464"/>
          <w:sz w:val="22"/>
        </w:rPr>
        <w:t>• Verify no open payments remain</w:t>
      </w:r>
    </w:p>
    <w:p>
      <w:pPr>
        <w:spacing w:after="40"/>
        <w:ind w:left="504" w:hanging="288"/>
      </w:pPr>
      <w:r>
        <w:rPr>
          <w:rFonts w:ascii="Google Sans" w:hAnsi="Google Sans"/>
          <w:color w:val="646464"/>
          <w:sz w:val="22"/>
        </w:rPr>
        <w:t>• Leads with blocking relationships are skipped and logged — the rest continue</w:t>
      </w:r>
    </w:p>
    <w:p>
      <w:pPr>
        <w:spacing w:before="320" w:after="120"/>
      </w:pPr>
      <w:r>
        <w:rPr>
          <w:rFonts w:ascii="Google Sans" w:hAnsi="Google Sans"/>
          <w:b/>
          <w:color w:val="286E50"/>
          <w:sz w:val="28"/>
        </w:rPr>
        <w:t>Phase 2 — Denormalize into Self-Contained Snapshot</w:t>
      </w:r>
    </w:p>
    <w:p>
      <w:pPr>
        <w:spacing w:after="80"/>
      </w:pPr>
      <w:r>
        <w:rPr>
          <w:rFonts w:ascii="Google Sans" w:hAnsi="Google Sans"/>
          <w:b w:val="0"/>
          <w:color w:val="646464"/>
          <w:sz w:val="22"/>
        </w:rPr>
        <w:t>The DAG fetches the complete lead graph and assembles a single Python dictionary per lead. This is the most important phase:</w:t>
      </w:r>
    </w:p>
    <w:p>
      <w:pPr>
        <w:spacing w:after="40"/>
        <w:ind w:left="504" w:hanging="288"/>
      </w:pPr>
      <w:r>
        <w:rPr>
          <w:rFonts w:ascii="Google Sans" w:hAnsi="Google Sans"/>
          <w:color w:val="646464"/>
          <w:sz w:val="22"/>
        </w:rPr>
        <w:t>• Fetch lead row + all child tables in a single query block</w:t>
      </w:r>
    </w:p>
    <w:p>
      <w:pPr>
        <w:spacing w:after="40"/>
        <w:ind w:left="504" w:hanging="288"/>
      </w:pPr>
      <w:r>
        <w:rPr>
          <w:rFonts w:ascii="Google Sans" w:hAnsi="Google Sans"/>
          <w:color w:val="646464"/>
          <w:sz w:val="22"/>
        </w:rPr>
        <w:t>• Resolve all FK references to human-readable values</w:t>
      </w:r>
    </w:p>
    <w:p>
      <w:pPr>
        <w:spacing w:after="40"/>
        <w:ind w:left="504" w:hanging="288"/>
      </w:pPr>
      <w:r>
        <w:rPr>
          <w:rFonts w:ascii="Google Sans" w:hAnsi="Google Sans"/>
          <w:color w:val="646464"/>
          <w:sz w:val="22"/>
        </w:rPr>
        <w:t>• Stamp schema_version onto the envelope</w:t>
      </w:r>
    </w:p>
    <w:p>
      <w:pPr>
        <w:spacing w:after="40"/>
        <w:ind w:left="504" w:hanging="288"/>
      </w:pPr>
      <w:r>
        <w:rPr>
          <w:rFonts w:ascii="Google Sans" w:hAnsi="Google Sans"/>
          <w:color w:val="646464"/>
          <w:sz w:val="22"/>
        </w:rPr>
        <w:t>• No foreign keys remain in the resulting structure</w:t>
      </w:r>
    </w:p>
    <w:p>
      <w:pPr>
        <w:spacing w:before="320" w:after="120"/>
      </w:pPr>
      <w:r>
        <w:rPr>
          <w:rFonts w:ascii="Google Sans" w:hAnsi="Google Sans"/>
          <w:b/>
          <w:color w:val="286E50"/>
          <w:sz w:val="28"/>
        </w:rPr>
        <w:t>Phase 3 — Export, Verify, Promote</w:t>
      </w:r>
    </w:p>
    <w:p>
      <w:pPr>
        <w:spacing w:after="80"/>
      </w:pPr>
      <w:r>
        <w:rPr>
          <w:rFonts w:ascii="Google Sans" w:hAnsi="Google Sans"/>
          <w:b w:val="0"/>
          <w:color w:val="646464"/>
          <w:sz w:val="22"/>
        </w:rPr>
        <w:t>The export phase branches based on the configured export target. In every case, data is written to a staging area first, verified, and only then promoted. If verification fails, the staged data is removed and the lead remains in Postgres untouched.</w:t>
      </w:r>
    </w:p>
    <w:p>
      <w:pPr>
        <w:spacing w:before="240" w:after="80"/>
      </w:pPr>
      <w:r>
        <w:rPr>
          <w:rFonts w:ascii="Google Sans" w:hAnsi="Google Sans"/>
          <w:b/>
          <w:color w:val="1E5AA0"/>
          <w:sz w:val="24"/>
        </w:rPr>
        <w:t>Option A — Parquet (Default)</w:t>
      </w:r>
    </w:p>
    <w:p>
      <w:pPr>
        <w:spacing w:after="40"/>
        <w:ind w:left="504" w:hanging="360"/>
      </w:pPr>
      <w:r>
        <w:rPr>
          <w:rFonts w:ascii="Google Sans" w:hAnsi="Google Sans"/>
          <w:color w:val="646464"/>
          <w:sz w:val="22"/>
        </w:rPr>
        <w:t>1. Write envelope(s) to MinIO staging path: /staging/leads/…</w:t>
      </w:r>
    </w:p>
    <w:p>
      <w:pPr>
        <w:spacing w:after="40"/>
        <w:ind w:left="504" w:hanging="360"/>
      </w:pPr>
      <w:r>
        <w:rPr>
          <w:rFonts w:ascii="Google Sans" w:hAnsi="Google Sans"/>
          <w:color w:val="646464"/>
          <w:sz w:val="22"/>
        </w:rPr>
        <w:t>2. Verify: row count matches export · SHA256 checksum matches · sample read of 10 rows passes</w:t>
      </w:r>
    </w:p>
    <w:p>
      <w:pPr>
        <w:spacing w:after="40"/>
        <w:ind w:left="504" w:hanging="360"/>
      </w:pPr>
      <w:r>
        <w:rPr>
          <w:rFonts w:ascii="Google Sans" w:hAnsi="Google Sans"/>
          <w:color w:val="646464"/>
          <w:sz w:val="22"/>
        </w:rPr>
        <w:t>3. Atomic move to final Hive-partitioned path:</w:t>
      </w:r>
    </w:p>
    <w:p>
      <w:pPr>
        <w:spacing w:after="20"/>
        <w:ind w:left="720"/>
      </w:pPr>
      <w:r>
        <w:rPr>
          <w:rFonts w:ascii="Google Sans" w:hAnsi="Google Sans"/>
          <w:color w:val="323296"/>
          <w:sz w:val="19"/>
        </w:rPr>
        <w:t>minio://backup/leads/year=2025/month=01/LEAD-1001_v3.parquet</w:t>
      </w:r>
    </w:p>
    <w:p>
      <w:pPr>
        <w:spacing w:before="240" w:after="80"/>
      </w:pPr>
      <w:r>
        <w:rPr>
          <w:rFonts w:ascii="Google Sans" w:hAnsi="Google Sans"/>
          <w:b/>
          <w:color w:val="1E5AA0"/>
          <w:sz w:val="24"/>
        </w:rPr>
        <w:t>Option B — CSV</w:t>
      </w:r>
    </w:p>
    <w:p>
      <w:pPr>
        <w:spacing w:after="40"/>
        <w:ind w:left="504" w:hanging="360"/>
      </w:pPr>
      <w:r>
        <w:rPr>
          <w:rFonts w:ascii="Google Sans" w:hAnsi="Google Sans"/>
          <w:color w:val="646464"/>
          <w:sz w:val="22"/>
        </w:rPr>
        <w:t>1. Write envelope(s) as CSV to MinIO staging path: /staging/leads/…</w:t>
      </w:r>
    </w:p>
    <w:p>
      <w:pPr>
        <w:spacing w:after="40"/>
        <w:ind w:left="1008" w:hanging="288"/>
      </w:pPr>
      <w:r>
        <w:rPr>
          <w:rFonts w:ascii="Google Sans" w:hAnsi="Google Sans"/>
          <w:color w:val="646464"/>
          <w:sz w:val="22"/>
        </w:rPr>
        <w:t>• One CSV file per child table per lead (e.g., LEAD-1001_payments_v3.csv, LEAD-1001_activities_v3.csv)</w:t>
      </w:r>
    </w:p>
    <w:p>
      <w:pPr>
        <w:spacing w:after="40"/>
        <w:ind w:left="1008" w:hanging="288"/>
      </w:pPr>
      <w:r>
        <w:rPr>
          <w:rFonts w:ascii="Google Sans" w:hAnsi="Google Sans"/>
          <w:color w:val="646464"/>
          <w:sz w:val="22"/>
        </w:rPr>
        <w:t>• A root CSV (LEAD-1001_lead_v3.csv) holds the denormalized lead-level fields</w:t>
      </w:r>
    </w:p>
    <w:p>
      <w:pPr>
        <w:spacing w:after="40"/>
        <w:ind w:left="1008" w:hanging="288"/>
      </w:pPr>
      <w:r>
        <w:rPr>
          <w:rFonts w:ascii="Google Sans" w:hAnsi="Google Sans"/>
          <w:color w:val="646464"/>
          <w:sz w:val="22"/>
        </w:rPr>
        <w:t>• All files share a _header.csv schema definition file per batch for column ordering</w:t>
      </w:r>
    </w:p>
    <w:p>
      <w:pPr>
        <w:spacing w:after="40"/>
        <w:ind w:left="504" w:hanging="360"/>
      </w:pPr>
      <w:r>
        <w:rPr>
          <w:rFonts w:ascii="Google Sans" w:hAnsi="Google Sans"/>
          <w:color w:val="646464"/>
          <w:sz w:val="22"/>
        </w:rPr>
        <w:t>2. Verify: row count matches export · SHA256 checksum matches · header consistency check across files</w:t>
      </w:r>
    </w:p>
    <w:p>
      <w:pPr>
        <w:spacing w:after="40"/>
        <w:ind w:left="504" w:hanging="360"/>
      </w:pPr>
      <w:r>
        <w:rPr>
          <w:rFonts w:ascii="Google Sans" w:hAnsi="Google Sans"/>
          <w:color w:val="646464"/>
          <w:sz w:val="22"/>
        </w:rPr>
        <w:t>3. Atomic move to final Hive-partitioned path:</w:t>
      </w:r>
    </w:p>
    <w:p>
      <w:pPr>
        <w:spacing w:after="20"/>
        <w:ind w:left="720"/>
      </w:pPr>
      <w:r>
        <w:rPr>
          <w:rFonts w:ascii="Google Sans" w:hAnsi="Google Sans"/>
          <w:color w:val="323296"/>
          <w:sz w:val="19"/>
        </w:rPr>
        <w:t>minio://backup-csv/leads/year=2025/month=01/LEAD-1001_lead_v3.csv</w:t>
      </w:r>
    </w:p>
    <w:p>
      <w:pPr>
        <w:spacing w:after="20"/>
        <w:ind w:left="720"/>
      </w:pPr>
      <w:r>
        <w:rPr>
          <w:rFonts w:ascii="Google Sans" w:hAnsi="Google Sans"/>
          <w:color w:val="323296"/>
          <w:sz w:val="19"/>
        </w:rPr>
        <w:t>minio://backup-csv/leads/year=2025/month=01/LEAD-1001_payments_v3.csv</w:t>
      </w:r>
    </w:p>
    <w:p>
      <w:pPr>
        <w:spacing w:before="240" w:after="80"/>
      </w:pPr>
      <w:r>
        <w:rPr>
          <w:rFonts w:ascii="Google Sans" w:hAnsi="Google Sans"/>
          <w:b/>
          <w:color w:val="1E5AA0"/>
          <w:sz w:val="24"/>
        </w:rPr>
        <w:t>Option C — External PostgreSQL Database</w:t>
      </w:r>
    </w:p>
    <w:p>
      <w:pPr>
        <w:spacing w:after="40"/>
        <w:ind w:left="504" w:hanging="360"/>
      </w:pPr>
      <w:r>
        <w:rPr>
          <w:rFonts w:ascii="Google Sans" w:hAnsi="Google Sans"/>
          <w:color w:val="646464"/>
          <w:sz w:val="22"/>
        </w:rPr>
        <w:t>1. Connect to the configured external Postgres instance using connection parameters from the DAG configuration (host, port, database, schema, credentials via secrets manager)</w:t>
      </w:r>
    </w:p>
    <w:p>
      <w:pPr>
        <w:spacing w:after="40"/>
        <w:ind w:left="504" w:hanging="360"/>
      </w:pPr>
      <w:r>
        <w:rPr>
          <w:rFonts w:ascii="Google Sans" w:hAnsi="Google Sans"/>
          <w:color w:val="646464"/>
          <w:sz w:val="22"/>
        </w:rPr>
        <w:t>2. Insert envelope data into the archive schema tables within a single transaction:</w:t>
      </w:r>
    </w:p>
    <w:p>
      <w:pPr>
        <w:spacing w:after="40"/>
        <w:ind w:left="1008" w:hanging="288"/>
      </w:pPr>
      <w:r>
        <w:rPr>
          <w:rFonts w:ascii="Google Sans" w:hAnsi="Google Sans"/>
          <w:color w:val="646464"/>
          <w:sz w:val="22"/>
        </w:rPr>
        <w:t>• archive.leads — denormalized lead-level fields</w:t>
      </w:r>
    </w:p>
    <w:p>
      <w:pPr>
        <w:spacing w:after="40"/>
        <w:ind w:left="1008" w:hanging="288"/>
      </w:pPr>
      <w:r>
        <w:rPr>
          <w:rFonts w:ascii="Google Sans" w:hAnsi="Google Sans"/>
          <w:color w:val="646464"/>
          <w:sz w:val="22"/>
        </w:rPr>
        <w:t>• archive.lead_documents — embedded documents</w:t>
      </w:r>
    </w:p>
    <w:p>
      <w:pPr>
        <w:spacing w:after="40"/>
        <w:ind w:left="1008" w:hanging="288"/>
      </w:pPr>
      <w:r>
        <w:rPr>
          <w:rFonts w:ascii="Google Sans" w:hAnsi="Google Sans"/>
          <w:color w:val="646464"/>
          <w:sz w:val="22"/>
        </w:rPr>
        <w:t>• archive.lead_activities — embedded activities</w:t>
      </w:r>
    </w:p>
    <w:p>
      <w:pPr>
        <w:spacing w:after="40"/>
        <w:ind w:left="1008" w:hanging="288"/>
      </w:pPr>
      <w:r>
        <w:rPr>
          <w:rFonts w:ascii="Google Sans" w:hAnsi="Google Sans"/>
          <w:color w:val="646464"/>
          <w:sz w:val="22"/>
        </w:rPr>
        <w:t>• archive.lead_assignments — embedded assignments</w:t>
      </w:r>
    </w:p>
    <w:p>
      <w:pPr>
        <w:spacing w:after="40"/>
        <w:ind w:left="1008" w:hanging="288"/>
      </w:pPr>
      <w:r>
        <w:rPr>
          <w:rFonts w:ascii="Google Sans" w:hAnsi="Google Sans"/>
          <w:color w:val="646464"/>
          <w:sz w:val="22"/>
        </w:rPr>
        <w:t>• archive.payments — payments with nested line items stored as JSONB</w:t>
      </w:r>
    </w:p>
    <w:p>
      <w:pPr>
        <w:spacing w:after="40"/>
        <w:ind w:left="504" w:hanging="360"/>
      </w:pPr>
      <w:r>
        <w:rPr>
          <w:rFonts w:ascii="Google Sans" w:hAnsi="Google Sans"/>
          <w:color w:val="646464"/>
          <w:sz w:val="22"/>
        </w:rPr>
        <w:t>3. Verify: row count in external DB matches expected count · checksum of inserted rows matches source</w:t>
      </w:r>
    </w:p>
    <w:p>
      <w:pPr>
        <w:spacing w:after="40"/>
        <w:ind w:left="504" w:hanging="360"/>
      </w:pPr>
      <w:r>
        <w:rPr>
          <w:rFonts w:ascii="Google Sans" w:hAnsi="Google Sans"/>
          <w:color w:val="646464"/>
          <w:sz w:val="22"/>
        </w:rPr>
        <w:t>4. On verification failure, the transaction is rolled back. The lead remains in primary Postgres untouched.</w:t>
      </w:r>
    </w:p>
    <w:tbl>
      <w:tblPr>
        <w:tblW w:type="auto" w:w="0"/>
        <w:tblLook w:firstColumn="1" w:firstRow="1" w:lastColumn="0" w:lastRow="0" w:noHBand="0" w:noVBand="1" w:val="04A0"/>
        <w:tblBorders>
          <w:top w:val="none" w:sz="0" w:space="0" w:color="auto"/>
          <w:left w:val="single" w:sz="12" w:space="0" w:color="286E50"/>
          <w:bottom w:val="none" w:sz="0" w:space="0" w:color="auto"/>
          <w:right w:val="none" w:sz="0" w:space="0" w:color="auto"/>
        </w:tblBorders>
      </w:tblPr>
      <w:tblGrid>
        <w:gridCol w:w="8784"/>
      </w:tblGrid>
      <w:tr>
        <w:tc>
          <w:tcPr>
            <w:tcW w:type="dxa" w:w="8784"/>
            <w:shd w:fill="e8f4ec"/>
          </w:tcPr>
          <w:p>
            <w:r/>
            <w:r>
              <w:rPr>
                <w:rFonts w:ascii="Google Sans" w:hAnsi="Google Sans"/>
                <w:b/>
                <w:color w:val="1E5032"/>
                <w:sz w:val="21"/>
              </w:rPr>
              <w:t xml:space="preserve">External DB note: </w:t>
            </w:r>
            <w:r>
              <w:rPr>
                <w:rFonts w:ascii="Google Sans" w:hAnsi="Google Sans"/>
                <w:color w:val="1E5032"/>
                <w:sz w:val="21"/>
              </w:rPr>
              <w:t xml:space="preserve">  The archive schema on the external Postgres instance mirrors the denormalized envelope structure — not the normalized source schema. All FK references are already resolved to human-readable values. No foreign keys exist between archive tables and the primary instance.</w:t>
            </w:r>
          </w:p>
        </w:tc>
      </w:tr>
    </w:tbl>
    <w:p/>
    <w:p>
      <w:pPr>
        <w:spacing w:before="240" w:after="80"/>
      </w:pPr>
      <w:r>
        <w:rPr>
          <w:rFonts w:ascii="Google Sans" w:hAnsi="Google Sans"/>
          <w:b/>
          <w:color w:val="1E5AA0"/>
          <w:sz w:val="24"/>
        </w:rPr>
        <w:t>Schema Provisioning via DAG</w:t>
      </w:r>
    </w:p>
    <w:p>
      <w:pPr>
        <w:spacing w:after="80"/>
      </w:pPr>
      <w:r>
        <w:rPr>
          <w:rFonts w:ascii="Google Sans" w:hAnsi="Google Sans"/>
          <w:b w:val="0"/>
          <w:color w:val="646464"/>
          <w:sz w:val="22"/>
        </w:rPr>
        <w:t xml:space="preserve">The archive schema tables on the external Postgres instance are </w:t>
      </w:r>
      <w:r>
        <w:rPr>
          <w:rFonts w:ascii="Google Sans" w:hAnsi="Google Sans"/>
          <w:b/>
          <w:color w:val="646464"/>
          <w:sz w:val="22"/>
        </w:rPr>
        <w:t>created and managed by the archival DAG itself</w:t>
      </w:r>
      <w:r>
        <w:rPr>
          <w:rFonts w:ascii="Google Sans" w:hAnsi="Google Sans"/>
          <w:b w:val="0"/>
          <w:color w:val="646464"/>
          <w:sz w:val="22"/>
        </w:rPr>
        <w:t xml:space="preserve"> — not through manual DDL scripts or external migration tools. This gives the pipeline full control over table structure and versioning:</w:t>
      </w:r>
    </w:p>
    <w:p>
      <w:pPr>
        <w:spacing w:after="40"/>
        <w:ind w:left="504" w:hanging="288"/>
      </w:pPr>
      <w:r>
        <w:rPr>
          <w:rFonts w:ascii="Google Sans" w:hAnsi="Google Sans"/>
          <w:color w:val="646464"/>
          <w:sz w:val="22"/>
        </w:rPr>
        <w:t xml:space="preserve">• </w:t>
      </w:r>
      <w:r>
        <w:rPr>
          <w:rFonts w:ascii="Google Sans" w:hAnsi="Google Sans"/>
          <w:b/>
          <w:color w:val="646464"/>
          <w:sz w:val="22"/>
        </w:rPr>
        <w:t>First-run bootstrap</w:t>
      </w:r>
      <w:r>
        <w:rPr>
          <w:rFonts w:ascii="Google Sans" w:hAnsi="Google Sans"/>
          <w:color w:val="646464"/>
          <w:sz w:val="22"/>
        </w:rPr>
        <w:t>: On the very first execution (or when pointing to a new external DB), the DAG runs a ensure_archive_schema task that creates the archive schema and all required tables if they do not already exist. Table definitions are derived from the current schema_version.</w:t>
      </w:r>
    </w:p>
    <w:p>
      <w:pPr>
        <w:spacing w:after="40"/>
        <w:ind w:left="504" w:hanging="288"/>
      </w:pPr>
      <w:r>
        <w:rPr>
          <w:rFonts w:ascii="Google Sans" w:hAnsi="Google Sans"/>
          <w:color w:val="646464"/>
          <w:sz w:val="22"/>
        </w:rPr>
        <w:t xml:space="preserve">• </w:t>
      </w:r>
      <w:r>
        <w:rPr>
          <w:rFonts w:ascii="Google Sans" w:hAnsi="Google Sans"/>
          <w:b/>
          <w:color w:val="646464"/>
          <w:sz w:val="22"/>
        </w:rPr>
        <w:t>Version-aware migration</w:t>
      </w:r>
      <w:r>
        <w:rPr>
          <w:rFonts w:ascii="Google Sans" w:hAnsi="Google Sans"/>
          <w:color w:val="646464"/>
          <w:sz w:val="22"/>
        </w:rPr>
        <w:t xml:space="preserve">: When schema_version changes (e.g., v3 → v4), the DAG detects the mismatch between the declared version and the existing table structure. It applies </w:t>
      </w:r>
      <w:r>
        <w:rPr>
          <w:rFonts w:ascii="Google Sans" w:hAnsi="Google Sans"/>
          <w:b/>
          <w:color w:val="646464"/>
          <w:sz w:val="22"/>
        </w:rPr>
        <w:t>additive, non-breaking migrations</w:t>
      </w:r>
      <w:r>
        <w:rPr>
          <w:rFonts w:ascii="Google Sans" w:hAnsi="Google Sans"/>
          <w:color w:val="646464"/>
          <w:sz w:val="22"/>
        </w:rPr>
        <w:t xml:space="preserve"> (e.g., ALTER TABLE ADD COLUMN) as part of a migrate_archive_schema task that runs before any inserts.</w:t>
      </w:r>
    </w:p>
    <w:p>
      <w:pPr>
        <w:spacing w:after="40"/>
        <w:ind w:left="504" w:hanging="288"/>
      </w:pPr>
      <w:r>
        <w:rPr>
          <w:rFonts w:ascii="Google Sans" w:hAnsi="Google Sans"/>
          <w:color w:val="646464"/>
          <w:sz w:val="22"/>
        </w:rPr>
        <w:t xml:space="preserve">• </w:t>
      </w:r>
      <w:r>
        <w:rPr>
          <w:rFonts w:ascii="Google Sans" w:hAnsi="Google Sans"/>
          <w:b/>
          <w:color w:val="646464"/>
          <w:sz w:val="22"/>
        </w:rPr>
        <w:t>Migration safety rules</w:t>
      </w:r>
      <w:r>
        <w:rPr>
          <w:rFonts w:ascii="Google Sans" w:hAnsi="Google Sans"/>
          <w:color w:val="646464"/>
          <w:sz w:val="22"/>
        </w:rPr>
        <w:t>:</w:t>
      </w:r>
    </w:p>
    <w:p>
      <w:pPr>
        <w:spacing w:after="40"/>
        <w:ind w:left="1008" w:hanging="288"/>
      </w:pPr>
      <w:r>
        <w:rPr>
          <w:rFonts w:ascii="Google Sans" w:hAnsi="Google Sans"/>
          <w:color w:val="646464"/>
          <w:sz w:val="22"/>
        </w:rPr>
        <w:t>• Only additive changes are applied automatically (new columns, new tables). Destructive changes (drop column, rename) require manual approval and a dedicated migration DAG.</w:t>
      </w:r>
    </w:p>
    <w:p>
      <w:pPr>
        <w:spacing w:after="40"/>
        <w:ind w:left="1008" w:hanging="288"/>
      </w:pPr>
      <w:r>
        <w:rPr>
          <w:rFonts w:ascii="Google Sans" w:hAnsi="Google Sans"/>
          <w:color w:val="646464"/>
          <w:sz w:val="22"/>
        </w:rPr>
        <w:t>• Every migration is recorded in an archive.schema_migrations table (version, applied_at, migration_sql) for auditability.</w:t>
      </w:r>
    </w:p>
    <w:p>
      <w:pPr>
        <w:spacing w:after="40"/>
        <w:ind w:left="1008" w:hanging="288"/>
      </w:pPr>
      <w:r>
        <w:rPr>
          <w:rFonts w:ascii="Google Sans" w:hAnsi="Google Sans"/>
          <w:color w:val="646464"/>
          <w:sz w:val="22"/>
        </w:rPr>
        <w:t xml:space="preserve">• The DAG will </w:t>
      </w:r>
      <w:r>
        <w:rPr>
          <w:rFonts w:ascii="Google Sans" w:hAnsi="Google Sans"/>
          <w:b/>
          <w:color w:val="646464"/>
          <w:sz w:val="22"/>
        </w:rPr>
        <w:t>refuse to insert</w:t>
      </w:r>
      <w:r>
        <w:rPr>
          <w:rFonts w:ascii="Google Sans" w:hAnsi="Google Sans"/>
          <w:color w:val="646464"/>
          <w:sz w:val="22"/>
        </w:rPr>
        <w:t xml:space="preserve"> if the target schema version is behind and cannot be auto-migrated — it logs an ARCHIVAL_FAILED event and halts the batch.</w:t>
      </w:r>
    </w:p>
    <w:p>
      <w:pPr>
        <w:spacing w:after="40"/>
        <w:ind w:left="504" w:hanging="288"/>
      </w:pPr>
      <w:r>
        <w:rPr>
          <w:rFonts w:ascii="Google Sans" w:hAnsi="Google Sans"/>
          <w:color w:val="646464"/>
          <w:sz w:val="22"/>
        </w:rPr>
        <w:t xml:space="preserve">• </w:t>
      </w:r>
      <w:r>
        <w:rPr>
          <w:rFonts w:ascii="Google Sans" w:hAnsi="Google Sans"/>
          <w:b/>
          <w:color w:val="646464"/>
          <w:sz w:val="22"/>
        </w:rPr>
        <w:t>Why not external migration tools</w:t>
      </w:r>
      <w:r>
        <w:rPr>
          <w:rFonts w:ascii="Google Sans" w:hAnsi="Google Sans"/>
          <w:color w:val="646464"/>
          <w:sz w:val="22"/>
        </w:rPr>
        <w:t>: Keeping schema management inside the DAG avoids a split-brain problem where the pipeline expects one schema shape but an external migration tool has applied a different one. The DAG is the single source of truth for what the archive tables should look like at any given schema_version.</w:t>
      </w:r>
    </w:p>
    <w:p>
      <w:pPr>
        <w:spacing w:before="320" w:after="120"/>
      </w:pPr>
      <w:r>
        <w:rPr>
          <w:rFonts w:ascii="Google Sans" w:hAnsi="Google Sans"/>
          <w:b/>
          <w:color w:val="286E50"/>
          <w:sz w:val="28"/>
        </w:rPr>
        <w:t>Phase 4 — Write Archival Manifest</w:t>
      </w:r>
    </w:p>
    <w:p>
      <w:pPr>
        <w:spacing w:after="80"/>
      </w:pPr>
      <w:r>
        <w:rPr>
          <w:rFonts w:ascii="Google Sans" w:hAnsi="Google Sans"/>
          <w:b w:val="0"/>
          <w:color w:val="646464"/>
          <w:sz w:val="22"/>
        </w:rPr>
        <w:t>Before any deletion, a row is written to archival_manifest — a permanent Postgres table that is never itself archived. This is the index into all archives: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shd w:fill="1e5aa0"/>
          </w:tcPr>
          <w:p>
            <w:r/>
            <w:r>
              <w:rPr>
                <w:rFonts w:ascii="Google Sans" w:hAnsi="Google Sans"/>
                <w:b/>
                <w:color w:val="FFFFFF"/>
                <w:sz w:val="20"/>
              </w:rPr>
              <w:t>Column</w:t>
            </w:r>
          </w:p>
        </w:tc>
        <w:tc>
          <w:tcPr>
            <w:tcW w:type="dxa" w:w="4392"/>
            <w:shd w:fill="1e5aa0"/>
          </w:tcPr>
          <w:p>
            <w:r/>
            <w:r>
              <w:rPr>
                <w:rFonts w:ascii="Google Sans" w:hAnsi="Google Sans"/>
                <w:b/>
                <w:color w:val="FFFFFF"/>
                <w:sz w:val="20"/>
              </w:rPr>
              <w:t>Description</w:t>
            </w:r>
          </w:p>
        </w:tc>
      </w:tr>
      <w:tr>
        <w:tc>
          <w:tcPr>
            <w:tcW w:type="dxa" w:w="4392"/>
          </w:tcPr>
          <w:p>
            <w:r/>
            <w:r>
              <w:rPr>
                <w:rFonts w:ascii="Google Sans" w:hAnsi="Google Sans"/>
                <w:color w:val="000000"/>
                <w:sz w:val="20"/>
              </w:rPr>
              <w:t>manifest_id</w:t>
            </w:r>
          </w:p>
        </w:tc>
        <w:tc>
          <w:tcPr>
            <w:tcW w:type="dxa" w:w="4392"/>
          </w:tcPr>
          <w:p>
            <w:r/>
            <w:r>
              <w:rPr>
                <w:rFonts w:ascii="Google Sans" w:hAnsi="Google Sans"/>
                <w:color w:val="000000"/>
                <w:sz w:val="20"/>
              </w:rPr>
              <w:t>Primary key</w:t>
            </w:r>
          </w:p>
        </w:tc>
      </w:tr>
      <w:tr>
        <w:tc>
          <w:tcPr>
            <w:tcW w:type="dxa" w:w="4392"/>
            <w:shd w:fill="f2f7fc"/>
          </w:tcPr>
          <w:p>
            <w:r/>
            <w:r>
              <w:rPr>
                <w:rFonts w:ascii="Google Sans" w:hAnsi="Google Sans"/>
                <w:color w:val="000000"/>
                <w:sz w:val="20"/>
              </w:rPr>
              <w:t>archived_entity_type</w:t>
            </w:r>
          </w:p>
        </w:tc>
        <w:tc>
          <w:tcPr>
            <w:tcW w:type="dxa" w:w="4392"/>
            <w:shd w:fill="f2f7fc"/>
          </w:tcPr>
          <w:p>
            <w:r/>
            <w:r>
              <w:rPr>
                <w:rFonts w:ascii="Google Sans" w:hAnsi="Google Sans"/>
                <w:color w:val="000000"/>
                <w:sz w:val="20"/>
              </w:rPr>
              <w:t>'lead'</w:t>
            </w:r>
          </w:p>
        </w:tc>
      </w:tr>
      <w:tr>
        <w:tc>
          <w:tcPr>
            <w:tcW w:type="dxa" w:w="4392"/>
          </w:tcPr>
          <w:p>
            <w:r/>
            <w:r>
              <w:rPr>
                <w:rFonts w:ascii="Google Sans" w:hAnsi="Google Sans"/>
                <w:color w:val="000000"/>
                <w:sz w:val="20"/>
              </w:rPr>
              <w:t>archived_entity_id</w:t>
            </w:r>
          </w:p>
        </w:tc>
        <w:tc>
          <w:tcPr>
            <w:tcW w:type="dxa" w:w="4392"/>
          </w:tcPr>
          <w:p>
            <w:r/>
            <w:r>
              <w:rPr>
                <w:rFonts w:ascii="Google Sans" w:hAnsi="Google Sans"/>
                <w:color w:val="000000"/>
                <w:sz w:val="20"/>
              </w:rPr>
              <w:t>e.g. 'LEAD-1001'</w:t>
            </w:r>
          </w:p>
        </w:tc>
      </w:tr>
      <w:tr>
        <w:tc>
          <w:tcPr>
            <w:tcW w:type="dxa" w:w="4392"/>
            <w:shd w:fill="f2f7fc"/>
          </w:tcPr>
          <w:p>
            <w:r/>
            <w:r>
              <w:rPr>
                <w:rFonts w:ascii="Google Sans" w:hAnsi="Google Sans"/>
                <w:color w:val="000000"/>
                <w:sz w:val="20"/>
              </w:rPr>
              <w:t>export_target</w:t>
            </w:r>
          </w:p>
        </w:tc>
        <w:tc>
          <w:tcPr>
            <w:tcW w:type="dxa" w:w="4392"/>
            <w:shd w:fill="f2f7fc"/>
          </w:tcPr>
          <w:p>
            <w:r/>
            <w:r>
              <w:rPr>
                <w:rFonts w:ascii="Google Sans" w:hAnsi="Google Sans"/>
                <w:color w:val="000000"/>
                <w:sz w:val="20"/>
              </w:rPr>
              <w:t>'parquet', 'csv', or 'external_db'</w:t>
            </w:r>
          </w:p>
        </w:tc>
      </w:tr>
      <w:tr>
        <w:tc>
          <w:tcPr>
            <w:tcW w:type="dxa" w:w="4392"/>
          </w:tcPr>
          <w:p>
            <w:r/>
            <w:r>
              <w:rPr>
                <w:rFonts w:ascii="Google Sans" w:hAnsi="Google Sans"/>
                <w:color w:val="000000"/>
                <w:sz w:val="20"/>
              </w:rPr>
              <w:t>archive_location</w:t>
            </w:r>
          </w:p>
        </w:tc>
        <w:tc>
          <w:tcPr>
            <w:tcW w:type="dxa" w:w="4392"/>
          </w:tcPr>
          <w:p>
            <w:r/>
            <w:r>
              <w:rPr>
                <w:rFonts w:ascii="Google Sans" w:hAnsi="Google Sans"/>
                <w:color w:val="000000"/>
                <w:sz w:val="20"/>
              </w:rPr>
              <w:t>Full MinIO path (Parquet/CSV) or external DB connection identifier + schema reference</w:t>
            </w:r>
          </w:p>
        </w:tc>
      </w:tr>
      <w:tr>
        <w:tc>
          <w:tcPr>
            <w:tcW w:type="dxa" w:w="4392"/>
            <w:shd w:fill="f2f7fc"/>
          </w:tcPr>
          <w:p>
            <w:r/>
            <w:r>
              <w:rPr>
                <w:rFonts w:ascii="Google Sans" w:hAnsi="Google Sans"/>
                <w:color w:val="000000"/>
                <w:sz w:val="20"/>
              </w:rPr>
              <w:t>archived_at</w:t>
            </w:r>
          </w:p>
        </w:tc>
        <w:tc>
          <w:tcPr>
            <w:tcW w:type="dxa" w:w="4392"/>
            <w:shd w:fill="f2f7fc"/>
          </w:tcPr>
          <w:p>
            <w:r/>
            <w:r>
              <w:rPr>
                <w:rFonts w:ascii="Google Sans" w:hAnsi="Google Sans"/>
                <w:color w:val="000000"/>
                <w:sz w:val="20"/>
              </w:rPr>
              <w:t>Timestamp of archival</w:t>
            </w:r>
          </w:p>
        </w:tc>
      </w:tr>
      <w:tr>
        <w:tc>
          <w:tcPr>
            <w:tcW w:type="dxa" w:w="4392"/>
          </w:tcPr>
          <w:p>
            <w:r/>
            <w:r>
              <w:rPr>
                <w:rFonts w:ascii="Google Sans" w:hAnsi="Google Sans"/>
                <w:color w:val="000000"/>
                <w:sz w:val="20"/>
              </w:rPr>
              <w:t>row_counts</w:t>
            </w:r>
          </w:p>
        </w:tc>
        <w:tc>
          <w:tcPr>
            <w:tcW w:type="dxa" w:w="4392"/>
          </w:tcPr>
          <w:p>
            <w:r/>
            <w:r>
              <w:rPr>
                <w:rFonts w:ascii="Google Sans" w:hAnsi="Google Sans"/>
                <w:color w:val="000000"/>
                <w:sz w:val="20"/>
              </w:rPr>
              <w:t>JSONB: {lead:1, documents:4, payments:2, line_items:5}</w:t>
            </w:r>
          </w:p>
        </w:tc>
      </w:tr>
      <w:tr>
        <w:tc>
          <w:tcPr>
            <w:tcW w:type="dxa" w:w="4392"/>
            <w:shd w:fill="f2f7fc"/>
          </w:tcPr>
          <w:p>
            <w:r/>
            <w:r>
              <w:rPr>
                <w:rFonts w:ascii="Google Sans" w:hAnsi="Google Sans"/>
                <w:color w:val="000000"/>
                <w:sz w:val="20"/>
              </w:rPr>
              <w:t>checksum</w:t>
            </w:r>
          </w:p>
        </w:tc>
        <w:tc>
          <w:tcPr>
            <w:tcW w:type="dxa" w:w="4392"/>
            <w:shd w:fill="f2f7fc"/>
          </w:tcPr>
          <w:p>
            <w:r/>
            <w:r>
              <w:rPr>
                <w:rFonts w:ascii="Google Sans" w:hAnsi="Google Sans"/>
                <w:color w:val="000000"/>
                <w:sz w:val="20"/>
              </w:rPr>
              <w:t>SHA256 of the export (file checksum for Parquet/CSV, row-hash for external DB)</w:t>
            </w:r>
          </w:p>
        </w:tc>
      </w:tr>
      <w:tr>
        <w:tc>
          <w:tcPr>
            <w:tcW w:type="dxa" w:w="4392"/>
          </w:tcPr>
          <w:p>
            <w:r/>
            <w:r>
              <w:rPr>
                <w:rFonts w:ascii="Google Sans" w:hAnsi="Google Sans"/>
                <w:color w:val="000000"/>
                <w:sz w:val="20"/>
              </w:rPr>
              <w:t>schema_version</w:t>
            </w:r>
          </w:p>
        </w:tc>
        <w:tc>
          <w:tcPr>
            <w:tcW w:type="dxa" w:w="4392"/>
          </w:tcPr>
          <w:p>
            <w:r/>
            <w:r>
              <w:rPr>
                <w:rFonts w:ascii="Google Sans" w:hAnsi="Google Sans"/>
                <w:color w:val="000000"/>
                <w:sz w:val="20"/>
              </w:rPr>
              <w:t>e.g. 'v3'</w:t>
            </w:r>
          </w:p>
        </w:tc>
      </w:tr>
      <w:tr>
        <w:tc>
          <w:tcPr>
            <w:tcW w:type="dxa" w:w="4392"/>
            <w:shd w:fill="f2f7fc"/>
          </w:tcPr>
          <w:p>
            <w:r/>
            <w:r>
              <w:rPr>
                <w:rFonts w:ascii="Google Sans" w:hAnsi="Google Sans"/>
                <w:color w:val="000000"/>
                <w:sz w:val="20"/>
              </w:rPr>
              <w:t>archived_by_job</w:t>
            </w:r>
          </w:p>
        </w:tc>
        <w:tc>
          <w:tcPr>
            <w:tcW w:type="dxa" w:w="4392"/>
            <w:shd w:fill="f2f7fc"/>
          </w:tcPr>
          <w:p>
            <w:r/>
            <w:r>
              <w:rPr>
                <w:rFonts w:ascii="Google Sans" w:hAnsi="Google Sans"/>
                <w:color w:val="000000"/>
                <w:sz w:val="20"/>
              </w:rPr>
              <w:t>FK to JobExecution</w:t>
            </w:r>
          </w:p>
        </w:tc>
      </w:tr>
    </w:tbl>
    <w:p/>
    <w:p>
      <w:pPr>
        <w:spacing w:before="320" w:after="120"/>
      </w:pPr>
      <w:r>
        <w:rPr>
          <w:rFonts w:ascii="Google Sans" w:hAnsi="Google Sans"/>
          <w:b/>
          <w:color w:val="286E50"/>
          <w:sz w:val="28"/>
        </w:rPr>
        <w:t>Phase 5 — Delete from Postgres (Leaves to Root)</w:t>
      </w:r>
    </w:p>
    <w:p>
      <w:pPr>
        <w:spacing w:after="80"/>
      </w:pPr>
      <w:r>
        <w:rPr>
          <w:rFonts w:ascii="Google Sans" w:hAnsi="Google Sans"/>
          <w:b w:val="0"/>
          <w:color w:val="646464"/>
          <w:sz w:val="22"/>
        </w:rPr>
        <w:t>Deletion order is strict. Each table is deleted in its own transaction. If any step fails, the pipeline stops — the export in the target is intact and the manifest records what was already deleted, making re-runs safe.</w:t>
      </w:r>
    </w:p>
    <w:p>
      <w:pPr>
        <w:spacing w:after="40"/>
        <w:ind w:left="504" w:hanging="360"/>
      </w:pPr>
      <w:r>
        <w:rPr>
          <w:rFonts w:ascii="Google Sans" w:hAnsi="Google Sans"/>
          <w:color w:val="646464"/>
          <w:sz w:val="22"/>
        </w:rPr>
        <w:t>1. payment_line_items  (deepest child)</w:t>
      </w:r>
    </w:p>
    <w:p>
      <w:pPr>
        <w:spacing w:after="40"/>
        <w:ind w:left="504" w:hanging="360"/>
      </w:pPr>
      <w:r>
        <w:rPr>
          <w:rFonts w:ascii="Google Sans" w:hAnsi="Google Sans"/>
          <w:color w:val="646464"/>
          <w:sz w:val="22"/>
        </w:rPr>
        <w:t>2. payments</w:t>
      </w:r>
    </w:p>
    <w:p>
      <w:pPr>
        <w:spacing w:after="40"/>
        <w:ind w:left="504" w:hanging="360"/>
      </w:pPr>
      <w:r>
        <w:rPr>
          <w:rFonts w:ascii="Google Sans" w:hAnsi="Google Sans"/>
          <w:color w:val="646464"/>
          <w:sz w:val="22"/>
        </w:rPr>
        <w:t>3. lead_assignments</w:t>
      </w:r>
    </w:p>
    <w:p>
      <w:pPr>
        <w:spacing w:after="40"/>
        <w:ind w:left="504" w:hanging="360"/>
      </w:pPr>
      <w:r>
        <w:rPr>
          <w:rFonts w:ascii="Google Sans" w:hAnsi="Google Sans"/>
          <w:color w:val="646464"/>
          <w:sz w:val="22"/>
        </w:rPr>
        <w:t>4. lead_activities</w:t>
      </w:r>
    </w:p>
    <w:p>
      <w:pPr>
        <w:spacing w:after="40"/>
        <w:ind w:left="504" w:hanging="360"/>
      </w:pPr>
      <w:r>
        <w:rPr>
          <w:rFonts w:ascii="Google Sans" w:hAnsi="Google Sans"/>
          <w:color w:val="646464"/>
          <w:sz w:val="22"/>
        </w:rPr>
        <w:t>5. lead_documents</w:t>
      </w:r>
    </w:p>
    <w:p>
      <w:pPr>
        <w:spacing w:after="40"/>
        <w:ind w:left="504" w:hanging="360"/>
      </w:pPr>
      <w:r>
        <w:rPr>
          <w:rFonts w:ascii="Google Sans" w:hAnsi="Google Sans"/>
          <w:color w:val="646464"/>
          <w:sz w:val="22"/>
        </w:rPr>
        <w:t>6. leads  (root — deleted last)</w:t>
      </w:r>
    </w:p>
    <w:tbl>
      <w:tblPr>
        <w:tblW w:type="auto" w:w="0"/>
        <w:tblLook w:firstColumn="1" w:firstRow="1" w:lastColumn="0" w:lastRow="0" w:noHBand="0" w:noVBand="1" w:val="04A0"/>
        <w:tblBorders>
          <w:top w:val="none" w:sz="0" w:space="0" w:color="auto"/>
          <w:left w:val="single" w:sz="12" w:space="0" w:color="286E50"/>
          <w:bottom w:val="none" w:sz="0" w:space="0" w:color="auto"/>
          <w:right w:val="none" w:sz="0" w:space="0" w:color="auto"/>
        </w:tblBorders>
      </w:tblPr>
      <w:tblGrid>
        <w:gridCol w:w="8784"/>
      </w:tblGrid>
      <w:tr>
        <w:tc>
          <w:tcPr>
            <w:tcW w:type="dxa" w:w="8784"/>
            <w:shd w:fill="e8f4ec"/>
          </w:tcPr>
          <w:p>
            <w:r/>
            <w:r>
              <w:rPr>
                <w:rFonts w:ascii="Google Sans" w:hAnsi="Google Sans"/>
                <w:b/>
                <w:color w:val="1E5032"/>
                <w:sz w:val="21"/>
              </w:rPr>
              <w:t xml:space="preserve">Customer rows: </w:t>
            </w:r>
            <w:r>
              <w:rPr>
                <w:rFonts w:ascii="Google Sans" w:hAnsi="Google Sans"/>
                <w:color w:val="1E5032"/>
                <w:sz w:val="21"/>
              </w:rPr>
              <w:t xml:space="preserve">  The customer row is NOT deleted unless all of that customer's leads are archived. The manifest tracks this. The customer row stays in Postgres until the last of their leads completes archival.</w:t>
            </w:r>
          </w:p>
        </w:tc>
      </w:tr>
    </w:tbl>
    <w:p/>
    <w:p>
      <w:pPr>
        <w:spacing w:before="320" w:after="120"/>
      </w:pPr>
      <w:r>
        <w:rPr>
          <w:rFonts w:ascii="Google Sans" w:hAnsi="Google Sans"/>
          <w:b/>
          <w:color w:val="286E50"/>
          <w:sz w:val="28"/>
        </w:rPr>
        <w:t>Phase 6 — Log to AuditLog and Notify</w:t>
      </w:r>
    </w:p>
    <w:p>
      <w:pPr>
        <w:spacing w:after="80"/>
      </w:pPr>
      <w:r>
        <w:rPr>
          <w:rFonts w:ascii="Google Sans" w:hAnsi="Google Sans"/>
          <w:b w:val="0"/>
          <w:color w:val="646464"/>
          <w:sz w:val="22"/>
        </w:rPr>
        <w:t>Two events are written to the existing AuditLog:</w:t>
      </w:r>
    </w:p>
    <w:p>
      <w:pPr>
        <w:spacing w:after="40"/>
        <w:ind w:left="504" w:hanging="288"/>
      </w:pPr>
      <w:r>
        <w:rPr>
          <w:rFonts w:ascii="Google Sans" w:hAnsi="Google Sans"/>
          <w:color w:val="646464"/>
          <w:sz w:val="22"/>
        </w:rPr>
        <w:t>• ARCHIVAL_COMPLETED — file path, row counts, checksum, schema version</w:t>
      </w:r>
    </w:p>
    <w:p>
      <w:pPr>
        <w:spacing w:after="40"/>
        <w:ind w:left="504" w:hanging="288"/>
      </w:pPr>
      <w:r>
        <w:rPr>
          <w:rFonts w:ascii="Google Sans" w:hAnsi="Google Sans"/>
          <w:color w:val="646464"/>
          <w:sz w:val="22"/>
        </w:rPr>
        <w:t>• DELETION_COMPLETED — entity id, tables affected, row counts deleted</w:t>
      </w:r>
    </w:p>
    <w:p>
      <w:pPr>
        <w:spacing w:after="80"/>
      </w:pPr>
      <w:r>
        <w:rPr>
          <w:rFonts w:ascii="Google Sans" w:hAnsi="Google Sans"/>
          <w:b w:val="0"/>
          <w:color w:val="646464"/>
          <w:sz w:val="22"/>
        </w:rPr>
        <w:t>A summary notification is sent to the operations team listing leads archived, total export size, and any skips with their reasons.</w:t>
      </w:r>
    </w:p>
    <w:p>
      <w:pPr>
        <w:spacing w:before="480" w:after="160"/>
      </w:pPr>
      <w:r>
        <w:rPr>
          <w:rFonts w:ascii="Google Sans" w:hAnsi="Google Sans"/>
          <w:b/>
          <w:color w:val="1E5AA0"/>
          <w:sz w:val="40"/>
        </w:rPr>
        <w:t>5. Airflow DAG Structure</w:t>
      </w:r>
    </w:p>
    <w:p>
      <w:pPr>
        <w:spacing w:after="80"/>
      </w:pPr>
      <w:r>
        <w:rPr>
          <w:rFonts w:ascii="Google Sans" w:hAnsi="Google Sans"/>
          <w:b w:val="0"/>
          <w:color w:val="646464"/>
          <w:sz w:val="22"/>
        </w:rPr>
        <w:t>The archival DAG sits alongside the existing transfer, masking, and purging DAGs. It follows the same patterns — XCom for state, batch processing, partial failure handling, and idempotent task execution.</w:t>
      </w:r>
    </w:p>
    <w:p>
      <w:pPr>
        <w:spacing w:before="320" w:after="120"/>
      </w:pPr>
      <w:r>
        <w:rPr>
          <w:rFonts w:ascii="Google Sans" w:hAnsi="Google Sans"/>
          <w:b/>
          <w:color w:val="286E50"/>
          <w:sz w:val="28"/>
        </w:rPr>
        <w:t>Task Chain</w:t>
      </w:r>
    </w:p>
    <w:p>
      <w:pPr>
        <w:spacing w:after="0" w:before="0"/>
      </w:pPr>
      <w:r>
        <w:rPr>
          <w:rFonts w:ascii="Courier New" w:hAnsi="Courier New"/>
          <w:color w:val="646464"/>
          <w:sz w:val="17"/>
        </w:rPr>
        <w:t>identify_eligible_leads</w:t>
      </w:r>
    </w:p>
    <w:p>
      <w:pPr>
        <w:spacing w:after="0" w:before="0"/>
      </w:pPr>
      <w:r>
        <w:rPr>
          <w:rFonts w:ascii="Courier New" w:hAnsi="Courier New"/>
          <w:color w:val="646464"/>
          <w:sz w:val="17"/>
        </w:rPr>
        <w:t xml:space="preserve">        ↓</w:t>
      </w:r>
    </w:p>
    <w:p>
      <w:pPr>
        <w:spacing w:after="0" w:before="0"/>
      </w:pPr>
      <w:r>
        <w:rPr>
          <w:rFonts w:ascii="Courier New" w:hAnsi="Courier New"/>
          <w:color w:val="646464"/>
          <w:sz w:val="17"/>
        </w:rPr>
        <w:t>validate_blocking_relationships</w:t>
      </w:r>
    </w:p>
    <w:p>
      <w:pPr>
        <w:spacing w:after="0" w:before="0"/>
      </w:pPr>
      <w:r>
        <w:rPr>
          <w:rFonts w:ascii="Courier New" w:hAnsi="Courier New"/>
          <w:color w:val="646464"/>
          <w:sz w:val="17"/>
        </w:rPr>
        <w:t xml:space="preserve">        ↓</w:t>
      </w:r>
    </w:p>
    <w:p>
      <w:pPr>
        <w:spacing w:after="0" w:before="0"/>
      </w:pPr>
      <w:r>
        <w:rPr>
          <w:rFonts w:ascii="Courier New" w:hAnsi="Courier New"/>
          <w:color w:val="646464"/>
          <w:sz w:val="17"/>
        </w:rPr>
        <w:t>denormalize_lead_graph          ← assemble full self-contained envelope</w:t>
      </w:r>
    </w:p>
    <w:p>
      <w:pPr>
        <w:spacing w:after="0" w:before="0"/>
      </w:pPr>
      <w:r>
        <w:rPr>
          <w:rFonts w:ascii="Courier New" w:hAnsi="Courier New"/>
          <w:color w:val="646464"/>
          <w:sz w:val="17"/>
        </w:rPr>
        <w:t xml:space="preserve">        ↓</w:t>
      </w:r>
    </w:p>
    <w:p>
      <w:pPr>
        <w:spacing w:after="0" w:before="0"/>
      </w:pPr>
      <w:r>
        <w:rPr>
          <w:rFonts w:ascii="Courier New" w:hAnsi="Courier New"/>
          <w:color w:val="646464"/>
          <w:sz w:val="17"/>
        </w:rPr>
        <w:t>branch_on_export_target         ← reads export_target from DAG config</w:t>
      </w:r>
    </w:p>
    <w:p>
      <w:pPr>
        <w:spacing w:after="0" w:before="0"/>
      </w:pPr>
      <w:r>
        <w:rPr>
          <w:rFonts w:ascii="Courier New" w:hAnsi="Courier New"/>
          <w:color w:val="646464"/>
          <w:sz w:val="17"/>
        </w:rPr>
        <w:t xml:space="preserve">        ↓                       ↓                         ↓</w:t>
      </w:r>
    </w:p>
    <w:p>
      <w:pPr>
        <w:spacing w:after="0" w:before="0"/>
      </w:pPr>
      <w:r>
        <w:rPr>
          <w:rFonts w:ascii="Courier New" w:hAnsi="Courier New"/>
          <w:color w:val="646464"/>
          <w:sz w:val="17"/>
        </w:rPr>
        <w:t>┌─────────────────┐  ┌─────────────────────┐  ┌──────────────────────────────┐</w:t>
      </w:r>
    </w:p>
    <w:p>
      <w:pPr>
        <w:spacing w:after="0" w:before="0"/>
      </w:pPr>
      <w:r>
        <w:rPr>
          <w:rFonts w:ascii="Courier New" w:hAnsi="Courier New"/>
          <w:color w:val="646464"/>
          <w:sz w:val="17"/>
        </w:rPr>
        <w:t>│ PARQUET (default)│  │ CSV                 │  │ EXTERNAL POSTGRESQL DATABASE │</w:t>
      </w:r>
    </w:p>
    <w:p>
      <w:pPr>
        <w:spacing w:after="0" w:before="0"/>
      </w:pPr>
      <w:r>
        <w:rPr>
          <w:rFonts w:ascii="Courier New" w:hAnsi="Courier New"/>
          <w:color w:val="646464"/>
          <w:sz w:val="17"/>
        </w:rPr>
        <w:t>├─────────────────┤  ├─────────────────────┤  ├──────────────────────────────┤</w:t>
      </w:r>
    </w:p>
    <w:p>
      <w:pPr>
        <w:spacing w:after="0" w:before="0"/>
      </w:pPr>
      <w:r>
        <w:rPr>
          <w:rFonts w:ascii="Courier New" w:hAnsi="Courier New"/>
          <w:color w:val="646464"/>
          <w:sz w:val="17"/>
        </w:rPr>
        <w:t>│ write_parquet_  │  │ write_csv_to_       │  │ connect_external_db          │</w:t>
      </w:r>
    </w:p>
    <w:p>
      <w:pPr>
        <w:spacing w:after="0" w:before="0"/>
      </w:pPr>
      <w:r>
        <w:rPr>
          <w:rFonts w:ascii="Courier New" w:hAnsi="Courier New"/>
          <w:color w:val="646464"/>
          <w:sz w:val="17"/>
        </w:rPr>
        <w:t>│  to_staging     │  │  staging            │  │         ↓                   │</w:t>
      </w:r>
    </w:p>
    <w:p>
      <w:pPr>
        <w:spacing w:after="0" w:before="0"/>
      </w:pPr>
      <w:r>
        <w:rPr>
          <w:rFonts w:ascii="Courier New" w:hAnsi="Courier New"/>
          <w:color w:val="646464"/>
          <w:sz w:val="17"/>
        </w:rPr>
        <w:t>│     ↓           │  │     ↓               │  │ insert_into_archive_schema   │</w:t>
      </w:r>
    </w:p>
    <w:p>
      <w:pPr>
        <w:spacing w:after="0" w:before="0"/>
      </w:pPr>
      <w:r>
        <w:rPr>
          <w:rFonts w:ascii="Courier New" w:hAnsi="Courier New"/>
          <w:color w:val="646464"/>
          <w:sz w:val="17"/>
        </w:rPr>
        <w:t>│ verify_staging  │  │ verify_staging      │  │         ↓                   │</w:t>
      </w:r>
    </w:p>
    <w:p>
      <w:pPr>
        <w:spacing w:after="0" w:before="0"/>
      </w:pPr>
      <w:r>
        <w:rPr>
          <w:rFonts w:ascii="Courier New" w:hAnsi="Courier New"/>
          <w:color w:val="646464"/>
          <w:sz w:val="17"/>
        </w:rPr>
        <w:t>│  _file          │  │  _file              │  │ verify_external_db_rows      │</w:t>
      </w:r>
    </w:p>
    <w:p>
      <w:pPr>
        <w:spacing w:after="0" w:before="0"/>
      </w:pPr>
      <w:r>
        <w:rPr>
          <w:rFonts w:ascii="Courier New" w:hAnsi="Courier New"/>
          <w:color w:val="646464"/>
          <w:sz w:val="17"/>
        </w:rPr>
        <w:t>│     ↓           │  │     ↓               │  │                              │</w:t>
      </w:r>
    </w:p>
    <w:p>
      <w:pPr>
        <w:spacing w:after="0" w:before="0"/>
      </w:pPr>
      <w:r>
        <w:rPr>
          <w:rFonts w:ascii="Courier New" w:hAnsi="Courier New"/>
          <w:color w:val="646464"/>
          <w:sz w:val="17"/>
        </w:rPr>
        <w:t>│ promote_to_     │  │ promote_to_         │  │                              │</w:t>
      </w:r>
    </w:p>
    <w:p>
      <w:pPr>
        <w:spacing w:after="0" w:before="0"/>
      </w:pPr>
      <w:r>
        <w:rPr>
          <w:rFonts w:ascii="Courier New" w:hAnsi="Courier New"/>
          <w:color w:val="646464"/>
          <w:sz w:val="17"/>
        </w:rPr>
        <w:t>│  final_minio    │  │  final_minio        │  │                              │</w:t>
      </w:r>
    </w:p>
    <w:p>
      <w:pPr>
        <w:spacing w:after="0" w:before="0"/>
      </w:pPr>
      <w:r>
        <w:rPr>
          <w:rFonts w:ascii="Courier New" w:hAnsi="Courier New"/>
          <w:color w:val="646464"/>
          <w:sz w:val="17"/>
        </w:rPr>
        <w:t>└────────┬────────┘  └──────────┬──────────┘  └──────────────┬───────────────┘</w:t>
      </w:r>
    </w:p>
    <w:p>
      <w:pPr>
        <w:spacing w:after="0" w:before="0"/>
      </w:pPr>
      <w:r>
        <w:rPr>
          <w:rFonts w:ascii="Courier New" w:hAnsi="Courier New"/>
          <w:color w:val="646464"/>
          <w:sz w:val="17"/>
        </w:rPr>
        <w:t xml:space="preserve">         └───────────────────── ↓ ─────────────────────────── ┘</w:t>
      </w:r>
    </w:p>
    <w:p>
      <w:pPr>
        <w:spacing w:after="0" w:before="0"/>
      </w:pPr>
      <w:r>
        <w:rPr>
          <w:rFonts w:ascii="Courier New" w:hAnsi="Courier New"/>
          <w:color w:val="646464"/>
          <w:sz w:val="17"/>
        </w:rPr>
        <w:t>write_archival_manifest         ← Postgres insert (permanent)</w:t>
      </w:r>
    </w:p>
    <w:p>
      <w:pPr>
        <w:spacing w:after="0" w:before="0"/>
      </w:pPr>
      <w:r>
        <w:rPr>
          <w:rFonts w:ascii="Courier New" w:hAnsi="Courier New"/>
          <w:color w:val="646464"/>
          <w:sz w:val="17"/>
        </w:rPr>
        <w:t xml:space="preserve">        ↓</w:t>
      </w:r>
    </w:p>
    <w:p>
      <w:pPr>
        <w:spacing w:after="0" w:before="0"/>
      </w:pPr>
      <w:r>
        <w:rPr>
          <w:rFonts w:ascii="Courier New" w:hAnsi="Courier New"/>
          <w:color w:val="646464"/>
          <w:sz w:val="17"/>
        </w:rPr>
        <w:t>delete_in_order                 ← leaves to root, per-table transactions</w:t>
      </w:r>
    </w:p>
    <w:p>
      <w:pPr>
        <w:spacing w:after="0" w:before="0"/>
      </w:pPr>
      <w:r>
        <w:rPr>
          <w:rFonts w:ascii="Courier New" w:hAnsi="Courier New"/>
          <w:color w:val="646464"/>
          <w:sz w:val="17"/>
        </w:rPr>
        <w:t xml:space="preserve">        ↓</w:t>
      </w:r>
    </w:p>
    <w:p>
      <w:pPr>
        <w:spacing w:after="0" w:before="0"/>
      </w:pPr>
      <w:r>
        <w:rPr>
          <w:rFonts w:ascii="Courier New" w:hAnsi="Courier New"/>
          <w:color w:val="646464"/>
          <w:sz w:val="17"/>
        </w:rPr>
        <w:t>log_archival_events             ← AuditLog entries</w:t>
      </w:r>
    </w:p>
    <w:p>
      <w:pPr>
        <w:spacing w:after="0" w:before="0"/>
      </w:pPr>
      <w:r>
        <w:rPr>
          <w:rFonts w:ascii="Courier New" w:hAnsi="Courier New"/>
          <w:color w:val="646464"/>
          <w:sz w:val="17"/>
        </w:rPr>
        <w:t xml:space="preserve">        ↓</w:t>
      </w:r>
    </w:p>
    <w:p>
      <w:pPr>
        <w:spacing w:after="0" w:before="0"/>
      </w:pPr>
      <w:r>
        <w:rPr>
          <w:rFonts w:ascii="Courier New" w:hAnsi="Courier New"/>
          <w:color w:val="646464"/>
          <w:sz w:val="17"/>
        </w:rPr>
        <w:t>notify</w:t>
      </w:r>
    </w:p>
    <w:p/>
    <w:p>
      <w:pPr>
        <w:spacing w:before="320" w:after="120"/>
      </w:pPr>
      <w:r>
        <w:rPr>
          <w:rFonts w:ascii="Google Sans" w:hAnsi="Google Sans"/>
          <w:b/>
          <w:color w:val="286E50"/>
          <w:sz w:val="28"/>
        </w:rPr>
        <w:t>DAG Configuration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28"/>
        <w:gridCol w:w="2928"/>
        <w:gridCol w:w="2928"/>
      </w:tblGrid>
      <w:tr>
        <w:tc>
          <w:tcPr>
            <w:tcW w:type="dxa" w:w="2928"/>
            <w:shd w:fill="1e5aa0"/>
          </w:tcPr>
          <w:p>
            <w:r/>
            <w:r>
              <w:rPr>
                <w:rFonts w:ascii="Google Sans" w:hAnsi="Google Sans"/>
                <w:b/>
                <w:color w:val="FFFFFF"/>
                <w:sz w:val="20"/>
              </w:rPr>
              <w:t>Parameter</w:t>
            </w:r>
          </w:p>
        </w:tc>
        <w:tc>
          <w:tcPr>
            <w:tcW w:type="dxa" w:w="2928"/>
            <w:shd w:fill="1e5aa0"/>
          </w:tcPr>
          <w:p>
            <w:r/>
            <w:r>
              <w:rPr>
                <w:rFonts w:ascii="Google Sans" w:hAnsi="Google Sans"/>
                <w:b/>
                <w:color w:val="FFFFFF"/>
                <w:sz w:val="20"/>
              </w:rPr>
              <w:t>Value</w:t>
            </w:r>
          </w:p>
        </w:tc>
        <w:tc>
          <w:tcPr>
            <w:tcW w:type="dxa" w:w="2928"/>
            <w:shd w:fill="1e5aa0"/>
          </w:tcPr>
          <w:p>
            <w:r/>
            <w:r>
              <w:rPr>
                <w:rFonts w:ascii="Google Sans" w:hAnsi="Google Sans"/>
                <w:b/>
                <w:color w:val="FFFFFF"/>
                <w:sz w:val="20"/>
              </w:rPr>
              <w:t>Reason</w:t>
            </w:r>
          </w:p>
        </w:tc>
      </w:tr>
      <w:tr>
        <w:tc>
          <w:tcPr>
            <w:tcW w:type="dxa" w:w="2928"/>
          </w:tcPr>
          <w:p>
            <w:r/>
            <w:r>
              <w:rPr>
                <w:rFonts w:ascii="Google Sans" w:hAnsi="Google Sans"/>
                <w:color w:val="000000"/>
                <w:sz w:val="20"/>
              </w:rPr>
              <w:t>Schedule</w:t>
            </w:r>
          </w:p>
        </w:tc>
        <w:tc>
          <w:tcPr>
            <w:tcW w:type="dxa" w:w="2928"/>
          </w:tcPr>
          <w:p>
            <w:r/>
            <w:r>
              <w:rPr>
                <w:rFonts w:ascii="Google Sans" w:hAnsi="Google Sans"/>
                <w:color w:val="000000"/>
                <w:sz w:val="20"/>
              </w:rPr>
              <w:t>Sunday 2 AM (0 2 * * 0)</w:t>
            </w:r>
          </w:p>
        </w:tc>
        <w:tc>
          <w:tcPr>
            <w:tcW w:type="dxa" w:w="2928"/>
          </w:tcPr>
          <w:p>
            <w:r/>
            <w:r>
              <w:rPr>
                <w:rFonts w:ascii="Google Sans" w:hAnsi="Google Sans"/>
                <w:color w:val="000000"/>
                <w:sz w:val="20"/>
              </w:rPr>
              <w:t>Lowest traffic window</w:t>
            </w:r>
          </w:p>
        </w:tc>
      </w:tr>
      <w:tr>
        <w:tc>
          <w:tcPr>
            <w:tcW w:type="dxa" w:w="2928"/>
            <w:shd w:fill="f2f7fc"/>
          </w:tcPr>
          <w:p>
            <w:r/>
            <w:r>
              <w:rPr>
                <w:rFonts w:ascii="Google Sans" w:hAnsi="Google Sans"/>
                <w:color w:val="000000"/>
                <w:sz w:val="20"/>
              </w:rPr>
              <w:t>Batch size</w:t>
            </w:r>
          </w:p>
        </w:tc>
        <w:tc>
          <w:tcPr>
            <w:tcW w:type="dxa" w:w="2928"/>
            <w:shd w:fill="f2f7fc"/>
          </w:tcPr>
          <w:p>
            <w:r/>
            <w:r>
              <w:rPr>
                <w:rFonts w:ascii="Google Sans" w:hAnsi="Google Sans"/>
                <w:color w:val="000000"/>
                <w:sz w:val="20"/>
              </w:rPr>
              <w:t>500 leads per run</w:t>
            </w:r>
          </w:p>
        </w:tc>
        <w:tc>
          <w:tcPr>
            <w:tcW w:type="dxa" w:w="2928"/>
            <w:shd w:fill="f2f7fc"/>
          </w:tcPr>
          <w:p>
            <w:r/>
            <w:r>
              <w:rPr>
                <w:rFonts w:ascii="Google Sans" w:hAnsi="Google Sans"/>
                <w:color w:val="000000"/>
                <w:sz w:val="20"/>
              </w:rPr>
              <w:t>Predictable duration, easy to monitor</w:t>
            </w:r>
          </w:p>
        </w:tc>
      </w:tr>
      <w:tr>
        <w:tc>
          <w:tcPr>
            <w:tcW w:type="dxa" w:w="2928"/>
          </w:tcPr>
          <w:p>
            <w:r/>
            <w:r>
              <w:rPr>
                <w:rFonts w:ascii="Google Sans" w:hAnsi="Google Sans"/>
                <w:color w:val="000000"/>
                <w:sz w:val="20"/>
              </w:rPr>
              <w:t>Max active runs</w:t>
            </w:r>
          </w:p>
        </w:tc>
        <w:tc>
          <w:tcPr>
            <w:tcW w:type="dxa" w:w="2928"/>
          </w:tcPr>
          <w:p>
            <w:r/>
            <w:r>
              <w:rPr>
                <w:rFonts w:ascii="Google Sans" w:hAnsi="Google Sans"/>
                <w:color w:val="000000"/>
                <w:sz w:val="20"/>
              </w:rPr>
              <w:t>1</w:t>
            </w:r>
          </w:p>
        </w:tc>
        <w:tc>
          <w:tcPr>
            <w:tcW w:type="dxa" w:w="2928"/>
          </w:tcPr>
          <w:p>
            <w:r/>
            <w:r>
              <w:rPr>
                <w:rFonts w:ascii="Google Sans" w:hAnsi="Google Sans"/>
                <w:color w:val="000000"/>
                <w:sz w:val="20"/>
              </w:rPr>
              <w:t>Prevent concurrent archival conflicts</w:t>
            </w:r>
          </w:p>
        </w:tc>
      </w:tr>
      <w:tr>
        <w:tc>
          <w:tcPr>
            <w:tcW w:type="dxa" w:w="2928"/>
            <w:shd w:fill="f2f7fc"/>
          </w:tcPr>
          <w:p>
            <w:r/>
            <w:r>
              <w:rPr>
                <w:rFonts w:ascii="Google Sans" w:hAnsi="Google Sans"/>
                <w:color w:val="000000"/>
                <w:sz w:val="20"/>
              </w:rPr>
              <w:t>Retry attempts</w:t>
            </w:r>
          </w:p>
        </w:tc>
        <w:tc>
          <w:tcPr>
            <w:tcW w:type="dxa" w:w="2928"/>
            <w:shd w:fill="f2f7fc"/>
          </w:tcPr>
          <w:p>
            <w:r/>
            <w:r>
              <w:rPr>
                <w:rFonts w:ascii="Google Sans" w:hAnsi="Google Sans"/>
                <w:color w:val="000000"/>
                <w:sz w:val="20"/>
              </w:rPr>
              <w:t>3 with 10-min delay</w:t>
            </w:r>
          </w:p>
        </w:tc>
        <w:tc>
          <w:tcPr>
            <w:tcW w:type="dxa" w:w="2928"/>
            <w:shd w:fill="f2f7fc"/>
          </w:tcPr>
          <w:p>
            <w:r/>
            <w:r>
              <w:rPr>
                <w:rFonts w:ascii="Google Sans" w:hAnsi="Google Sans"/>
                <w:color w:val="000000"/>
                <w:sz w:val="20"/>
              </w:rPr>
              <w:t>Transient MinIO / DB errors</w:t>
            </w:r>
          </w:p>
        </w:tc>
      </w:tr>
      <w:tr>
        <w:tc>
          <w:tcPr>
            <w:tcW w:type="dxa" w:w="2928"/>
          </w:tcPr>
          <w:p>
            <w:r/>
            <w:r>
              <w:rPr>
                <w:rFonts w:ascii="Google Sans" w:hAnsi="Google Sans"/>
                <w:color w:val="000000"/>
                <w:sz w:val="20"/>
              </w:rPr>
            </w:r>
            <w:r>
              <w:rPr>
                <w:rFonts w:ascii="Google Sans" w:hAnsi="Google Sans"/>
                <w:b/>
                <w:color w:val="000000"/>
                <w:sz w:val="20"/>
              </w:rPr>
              <w:t>export_target</w:t>
            </w:r>
            <w:r>
              <w:rPr>
                <w:rFonts w:ascii="Google Sans" w:hAnsi="Google Sans"/>
                <w:color w:val="000000"/>
                <w:sz w:val="20"/>
              </w:rPr>
            </w:r>
          </w:p>
        </w:tc>
        <w:tc>
          <w:tcPr>
            <w:tcW w:type="dxa" w:w="2928"/>
          </w:tcPr>
          <w:p>
            <w:r/>
            <w:r>
              <w:rPr>
                <w:rFonts w:ascii="Google Sans" w:hAnsi="Google Sans"/>
                <w:color w:val="000000"/>
                <w:sz w:val="20"/>
              </w:rPr>
            </w:r>
            <w:r>
              <w:rPr>
                <w:rFonts w:ascii="Google Sans" w:hAnsi="Google Sans"/>
                <w:b/>
                <w:color w:val="000000"/>
                <w:sz w:val="20"/>
              </w:rPr>
              <w:t>parquet</w:t>
            </w:r>
            <w:r>
              <w:rPr>
                <w:rFonts w:ascii="Google Sans" w:hAnsi="Google Sans"/>
                <w:color w:val="000000"/>
                <w:sz w:val="20"/>
              </w:rPr>
              <w:t xml:space="preserve"> (default) / csv / external_db</w:t>
            </w:r>
          </w:p>
        </w:tc>
        <w:tc>
          <w:tcPr>
            <w:tcW w:type="dxa" w:w="2928"/>
          </w:tcPr>
          <w:p>
            <w:r/>
            <w:r>
              <w:rPr>
                <w:rFonts w:ascii="Google Sans" w:hAnsi="Google Sans"/>
                <w:color w:val="000000"/>
                <w:sz w:val="20"/>
              </w:rPr>
            </w:r>
            <w:r>
              <w:rPr>
                <w:rFonts w:ascii="Google Sans" w:hAnsi="Google Sans"/>
                <w:b/>
                <w:color w:val="000000"/>
                <w:sz w:val="20"/>
              </w:rPr>
              <w:t>Determines which export branch the DAG follows</w:t>
            </w:r>
            <w:r>
              <w:rPr>
                <w:rFonts w:ascii="Google Sans" w:hAnsi="Google Sans"/>
                <w:color w:val="000000"/>
                <w:sz w:val="20"/>
              </w:rPr>
            </w:r>
          </w:p>
        </w:tc>
      </w:tr>
      <w:tr>
        <w:tc>
          <w:tcPr>
            <w:tcW w:type="dxa" w:w="2928"/>
            <w:shd w:fill="f2f7fc"/>
          </w:tcPr>
          <w:p>
            <w:r/>
            <w:r>
              <w:rPr>
                <w:rFonts w:ascii="Google Sans" w:hAnsi="Google Sans"/>
                <w:color w:val="000000"/>
                <w:sz w:val="20"/>
              </w:rPr>
              <w:t>external_db_conn_id</w:t>
            </w:r>
          </w:p>
        </w:tc>
        <w:tc>
          <w:tcPr>
            <w:tcW w:type="dxa" w:w="2928"/>
            <w:shd w:fill="f2f7fc"/>
          </w:tcPr>
          <w:p>
            <w:r/>
            <w:r>
              <w:rPr>
                <w:rFonts w:ascii="Google Sans" w:hAnsi="Google Sans"/>
                <w:color w:val="000000"/>
                <w:sz w:val="20"/>
              </w:rPr>
              <w:t>Airflow connection ID (only when export_target = external_db)</w:t>
            </w:r>
          </w:p>
        </w:tc>
        <w:tc>
          <w:tcPr>
            <w:tcW w:type="dxa" w:w="2928"/>
            <w:shd w:fill="f2f7fc"/>
          </w:tcPr>
          <w:p>
            <w:r/>
            <w:r>
              <w:rPr>
                <w:rFonts w:ascii="Google Sans" w:hAnsi="Google Sans"/>
                <w:color w:val="000000"/>
                <w:sz w:val="20"/>
              </w:rPr>
              <w:t>Credentials managed via Airflow secrets backend</w:t>
            </w:r>
          </w:p>
        </w:tc>
      </w:tr>
      <w:tr>
        <w:tc>
          <w:tcPr>
            <w:tcW w:type="dxa" w:w="2928"/>
          </w:tcPr>
          <w:p>
            <w:r/>
            <w:r>
              <w:rPr>
                <w:rFonts w:ascii="Google Sans" w:hAnsi="Google Sans"/>
                <w:color w:val="000000"/>
                <w:sz w:val="20"/>
              </w:rPr>
              <w:t>Trigger rule (delete task)</w:t>
            </w:r>
          </w:p>
        </w:tc>
        <w:tc>
          <w:tcPr>
            <w:tcW w:type="dxa" w:w="2928"/>
          </w:tcPr>
          <w:p>
            <w:r/>
            <w:r>
              <w:rPr>
                <w:rFonts w:ascii="Google Sans" w:hAnsi="Google Sans"/>
                <w:color w:val="000000"/>
                <w:sz w:val="20"/>
              </w:rPr>
              <w:t>all_success</w:t>
            </w:r>
          </w:p>
        </w:tc>
        <w:tc>
          <w:tcPr>
            <w:tcW w:type="dxa" w:w="2928"/>
          </w:tcPr>
          <w:p>
            <w:r/>
            <w:r>
              <w:rPr>
                <w:rFonts w:ascii="Google Sans" w:hAnsi="Google Sans"/>
                <w:color w:val="000000"/>
                <w:sz w:val="20"/>
              </w:rPr>
              <w:t>Delete only if all prior tasks passed</w:t>
            </w:r>
          </w:p>
        </w:tc>
      </w:tr>
      <w:tr>
        <w:tc>
          <w:tcPr>
            <w:tcW w:type="dxa" w:w="2928"/>
            <w:shd w:fill="f2f7fc"/>
          </w:tcPr>
          <w:p>
            <w:r/>
            <w:r>
              <w:rPr>
                <w:rFonts w:ascii="Google Sans" w:hAnsi="Google Sans"/>
                <w:color w:val="000000"/>
                <w:sz w:val="20"/>
              </w:rPr>
              <w:t>Trigger rule (notify task)</w:t>
            </w:r>
          </w:p>
        </w:tc>
        <w:tc>
          <w:tcPr>
            <w:tcW w:type="dxa" w:w="2928"/>
            <w:shd w:fill="f2f7fc"/>
          </w:tcPr>
          <w:p>
            <w:r/>
            <w:r>
              <w:rPr>
                <w:rFonts w:ascii="Google Sans" w:hAnsi="Google Sans"/>
                <w:color w:val="000000"/>
                <w:sz w:val="20"/>
              </w:rPr>
              <w:t>all_done</w:t>
            </w:r>
          </w:p>
        </w:tc>
        <w:tc>
          <w:tcPr>
            <w:tcW w:type="dxa" w:w="2928"/>
            <w:shd w:fill="f2f7fc"/>
          </w:tcPr>
          <w:p>
            <w:r/>
            <w:r>
              <w:rPr>
                <w:rFonts w:ascii="Google Sans" w:hAnsi="Google Sans"/>
                <w:color w:val="000000"/>
                <w:sz w:val="20"/>
              </w:rPr>
              <w:t>Notify even on partial failure</w:t>
            </w:r>
          </w:p>
        </w:tc>
      </w:tr>
    </w:tbl>
    <w:p/>
    <w:p>
      <w:pPr>
        <w:spacing w:before="480" w:after="160"/>
      </w:pPr>
      <w:r>
        <w:rPr>
          <w:rFonts w:ascii="Google Sans" w:hAnsi="Google Sans"/>
          <w:b/>
          <w:color w:val="1E5AA0"/>
          <w:sz w:val="40"/>
        </w:rPr>
        <w:t>6. Storage Layouts by Export Target</w:t>
      </w:r>
    </w:p>
    <w:p>
      <w:pPr>
        <w:spacing w:before="320" w:after="120"/>
      </w:pPr>
      <w:r>
        <w:rPr>
          <w:rFonts w:ascii="Google Sans" w:hAnsi="Google Sans"/>
          <w:b/>
          <w:color w:val="286E50"/>
          <w:sz w:val="28"/>
        </w:rPr>
        <w:t>6a. Parquet — MinIO Storage Layout</w:t>
      </w:r>
    </w:p>
    <w:p>
      <w:pPr>
        <w:spacing w:after="80"/>
      </w:pPr>
      <w:r>
        <w:rPr>
          <w:rFonts w:ascii="Google Sans" w:hAnsi="Google Sans"/>
          <w:b w:val="0"/>
          <w:color w:val="646464"/>
          <w:sz w:val="22"/>
        </w:rPr>
        <w:t>Parquet files follow Hive-style partitioning so that query tools can filter by date without scanning all files:</w:t>
      </w:r>
    </w:p>
    <w:p>
      <w:pPr>
        <w:spacing w:after="0"/>
        <w:ind w:left="432"/>
      </w:pPr>
      <w:r>
        <w:rPr>
          <w:rFonts w:ascii="Courier New" w:hAnsi="Courier New"/>
          <w:color w:val="646464"/>
          <w:sz w:val="20"/>
        </w:rPr>
        <w:t>minio://backup/</w:t>
      </w:r>
    </w:p>
    <w:p>
      <w:pPr>
        <w:spacing w:after="0"/>
        <w:ind w:left="432"/>
      </w:pPr>
      <w:r>
        <w:rPr>
          <w:rFonts w:ascii="Courier New" w:hAnsi="Courier New"/>
          <w:color w:val="646464"/>
          <w:sz w:val="20"/>
        </w:rPr>
        <w:t xml:space="preserve">  leads/</w:t>
      </w:r>
    </w:p>
    <w:p>
      <w:pPr>
        <w:spacing w:after="0"/>
        <w:ind w:left="432"/>
      </w:pPr>
      <w:r>
        <w:rPr>
          <w:rFonts w:ascii="Courier New" w:hAnsi="Courier New"/>
          <w:color w:val="646464"/>
          <w:sz w:val="20"/>
        </w:rPr>
        <w:t xml:space="preserve">    year=2025/</w:t>
      </w:r>
    </w:p>
    <w:p>
      <w:pPr>
        <w:spacing w:after="0"/>
        <w:ind w:left="432"/>
      </w:pPr>
      <w:r>
        <w:rPr>
          <w:rFonts w:ascii="Courier New" w:hAnsi="Courier New"/>
          <w:color w:val="646464"/>
          <w:sz w:val="20"/>
        </w:rPr>
        <w:t xml:space="preserve">      month=01/</w:t>
      </w:r>
    </w:p>
    <w:p>
      <w:pPr>
        <w:spacing w:after="0"/>
        <w:ind w:left="432"/>
      </w:pPr>
      <w:r>
        <w:rPr>
          <w:rFonts w:ascii="Courier New" w:hAnsi="Courier New"/>
          <w:color w:val="646464"/>
          <w:sz w:val="20"/>
        </w:rPr>
        <w:t xml:space="preserve">        LEAD-1001_v3.parquet</w:t>
      </w:r>
    </w:p>
    <w:p>
      <w:pPr>
        <w:spacing w:after="0"/>
        <w:ind w:left="432"/>
      </w:pPr>
      <w:r>
        <w:rPr>
          <w:rFonts w:ascii="Courier New" w:hAnsi="Courier New"/>
          <w:color w:val="646464"/>
          <w:sz w:val="20"/>
        </w:rPr>
        <w:t xml:space="preserve">        LEAD-1002_v3.parquet</w:t>
      </w:r>
    </w:p>
    <w:p>
      <w:pPr>
        <w:spacing w:after="0"/>
        <w:ind w:left="432"/>
      </w:pPr>
      <w:r>
        <w:rPr>
          <w:rFonts w:ascii="Courier New" w:hAnsi="Courier New"/>
          <w:color w:val="646464"/>
          <w:sz w:val="20"/>
        </w:rPr>
        <w:t xml:space="preserve">        LEAD-1003_v3.parquet</w:t>
      </w:r>
    </w:p>
    <w:p>
      <w:pPr>
        <w:spacing w:after="0"/>
        <w:ind w:left="432"/>
      </w:pPr>
      <w:r>
        <w:rPr>
          <w:rFonts w:ascii="Courier New" w:hAnsi="Courier New"/>
          <w:color w:val="646464"/>
          <w:sz w:val="20"/>
        </w:rPr>
        <w:t xml:space="preserve">      month=02/</w:t>
      </w:r>
    </w:p>
    <w:p>
      <w:pPr>
        <w:spacing w:after="0"/>
        <w:ind w:left="432"/>
      </w:pPr>
      <w:r>
        <w:rPr>
          <w:rFonts w:ascii="Courier New" w:hAnsi="Courier New"/>
          <w:color w:val="646464"/>
          <w:sz w:val="20"/>
        </w:rPr>
        <w:t xml:space="preserve">        LEAD-2001_v3.parquet</w:t>
      </w:r>
    </w:p>
    <w:p>
      <w:pPr>
        <w:spacing w:after="0"/>
        <w:ind w:left="432"/>
      </w:pPr>
      <w:r>
        <w:rPr>
          <w:rFonts w:ascii="Courier New" w:hAnsi="Courier New"/>
          <w:color w:val="646464"/>
          <w:sz w:val="20"/>
        </w:rPr>
        <w:t xml:space="preserve">    year=2026/</w:t>
      </w:r>
    </w:p>
    <w:p>
      <w:pPr>
        <w:spacing w:after="0"/>
        <w:ind w:left="432"/>
      </w:pPr>
      <w:r>
        <w:rPr>
          <w:rFonts w:ascii="Courier New" w:hAnsi="Courier New"/>
          <w:color w:val="646464"/>
          <w:sz w:val="20"/>
        </w:rPr>
        <w:t xml:space="preserve">      month=01/</w:t>
      </w:r>
    </w:p>
    <w:p>
      <w:pPr>
        <w:spacing w:after="0"/>
        <w:ind w:left="432"/>
      </w:pPr>
      <w:r>
        <w:rPr>
          <w:rFonts w:ascii="Courier New" w:hAnsi="Courier New"/>
          <w:color w:val="646464"/>
          <w:sz w:val="20"/>
        </w:rPr>
        <w:t xml:space="preserve">        ...</w:t>
      </w:r>
    </w:p>
    <w:p>
      <w:pPr>
        <w:spacing w:before="320" w:after="120"/>
      </w:pPr>
      <w:r>
        <w:rPr>
          <w:rFonts w:ascii="Google Sans" w:hAnsi="Google Sans"/>
          <w:b/>
          <w:color w:val="286E50"/>
          <w:sz w:val="28"/>
        </w:rPr>
        <w:t>6b. CSV — MinIO Storage Layout</w:t>
      </w:r>
    </w:p>
    <w:p>
      <w:pPr>
        <w:spacing w:after="80"/>
      </w:pPr>
      <w:r>
        <w:rPr>
          <w:rFonts w:ascii="Google Sans" w:hAnsi="Google Sans"/>
          <w:b w:val="0"/>
          <w:color w:val="646464"/>
          <w:sz w:val="22"/>
        </w:rPr>
        <w:t>CSV files follow the same Hive-style partitioning. Because CSV cannot nest arrays, each child table gets its own file per lead:</w:t>
      </w:r>
    </w:p>
    <w:p>
      <w:pPr>
        <w:spacing w:after="0"/>
        <w:ind w:left="432"/>
      </w:pPr>
      <w:r>
        <w:rPr>
          <w:rFonts w:ascii="Courier New" w:hAnsi="Courier New"/>
          <w:color w:val="646464"/>
          <w:sz w:val="20"/>
        </w:rPr>
        <w:t>minio://backup-csv/</w:t>
      </w:r>
    </w:p>
    <w:p>
      <w:pPr>
        <w:spacing w:after="0"/>
        <w:ind w:left="432"/>
      </w:pPr>
      <w:r>
        <w:rPr>
          <w:rFonts w:ascii="Courier New" w:hAnsi="Courier New"/>
          <w:color w:val="646464"/>
          <w:sz w:val="20"/>
        </w:rPr>
        <w:t xml:space="preserve">  leads/</w:t>
      </w:r>
    </w:p>
    <w:p>
      <w:pPr>
        <w:spacing w:after="0"/>
        <w:ind w:left="432"/>
      </w:pPr>
      <w:r>
        <w:rPr>
          <w:rFonts w:ascii="Courier New" w:hAnsi="Courier New"/>
          <w:color w:val="646464"/>
          <w:sz w:val="20"/>
        </w:rPr>
        <w:t xml:space="preserve">    year=2025/</w:t>
      </w:r>
    </w:p>
    <w:p>
      <w:pPr>
        <w:spacing w:after="0"/>
        <w:ind w:left="432"/>
      </w:pPr>
      <w:r>
        <w:rPr>
          <w:rFonts w:ascii="Courier New" w:hAnsi="Courier New"/>
          <w:color w:val="646464"/>
          <w:sz w:val="20"/>
        </w:rPr>
        <w:t xml:space="preserve">      month=01/</w:t>
      </w:r>
    </w:p>
    <w:p>
      <w:pPr>
        <w:spacing w:after="0"/>
        <w:ind w:left="432"/>
      </w:pPr>
      <w:r>
        <w:rPr>
          <w:rFonts w:ascii="Courier New" w:hAnsi="Courier New"/>
          <w:color w:val="646464"/>
          <w:sz w:val="20"/>
        </w:rPr>
        <w:t xml:space="preserve">        _header_v3.csv                  ← column definitions for this schema version</w:t>
      </w:r>
    </w:p>
    <w:p>
      <w:pPr>
        <w:spacing w:after="0"/>
        <w:ind w:left="432"/>
      </w:pPr>
      <w:r>
        <w:rPr>
          <w:rFonts w:ascii="Courier New" w:hAnsi="Courier New"/>
          <w:color w:val="646464"/>
          <w:sz w:val="20"/>
        </w:rPr>
        <w:t xml:space="preserve">        LEAD-1001_lead_v3.csv           ← root lead fields</w:t>
      </w:r>
    </w:p>
    <w:p>
      <w:pPr>
        <w:spacing w:after="0"/>
        <w:ind w:left="432"/>
      </w:pPr>
      <w:r>
        <w:rPr>
          <w:rFonts w:ascii="Courier New" w:hAnsi="Courier New"/>
          <w:color w:val="646464"/>
          <w:sz w:val="20"/>
        </w:rPr>
        <w:t xml:space="preserve">        LEAD-1001_documents_v3.csv      ← child: lead_documents</w:t>
      </w:r>
    </w:p>
    <w:p>
      <w:pPr>
        <w:spacing w:after="0"/>
        <w:ind w:left="432"/>
      </w:pPr>
      <w:r>
        <w:rPr>
          <w:rFonts w:ascii="Courier New" w:hAnsi="Courier New"/>
          <w:color w:val="646464"/>
          <w:sz w:val="20"/>
        </w:rPr>
        <w:t xml:space="preserve">        LEAD-1001_activities_v3.csv     ← child: lead_activities</w:t>
      </w:r>
    </w:p>
    <w:p>
      <w:pPr>
        <w:spacing w:after="0"/>
        <w:ind w:left="432"/>
      </w:pPr>
      <w:r>
        <w:rPr>
          <w:rFonts w:ascii="Courier New" w:hAnsi="Courier New"/>
          <w:color w:val="646464"/>
          <w:sz w:val="20"/>
        </w:rPr>
        <w:t xml:space="preserve">        LEAD-1001_assignments_v3.csv    ← child: lead_assignments</w:t>
      </w:r>
    </w:p>
    <w:p>
      <w:pPr>
        <w:spacing w:after="0"/>
        <w:ind w:left="432"/>
      </w:pPr>
      <w:r>
        <w:rPr>
          <w:rFonts w:ascii="Courier New" w:hAnsi="Courier New"/>
          <w:color w:val="646464"/>
          <w:sz w:val="20"/>
        </w:rPr>
        <w:t xml:space="preserve">        LEAD-1001_payments_v3.csv       ← child: payments + line items flattened</w:t>
      </w:r>
    </w:p>
    <w:p>
      <w:pPr>
        <w:spacing w:after="0"/>
        <w:ind w:left="432"/>
      </w:pPr>
      <w:r>
        <w:rPr>
          <w:rFonts w:ascii="Courier New" w:hAnsi="Courier New"/>
          <w:color w:val="646464"/>
          <w:sz w:val="20"/>
        </w:rPr>
        <w:t xml:space="preserve">        LEAD-1002_lead_v3.csv</w:t>
      </w:r>
    </w:p>
    <w:p>
      <w:pPr>
        <w:spacing w:after="0"/>
        <w:ind w:left="432"/>
      </w:pPr>
      <w:r>
        <w:rPr>
          <w:rFonts w:ascii="Courier New" w:hAnsi="Courier New"/>
          <w:color w:val="646464"/>
          <w:sz w:val="20"/>
        </w:rPr>
        <w:t xml:space="preserve">        ...</w:t>
      </w:r>
    </w:p>
    <w:p>
      <w:pPr>
        <w:spacing w:after="0"/>
        <w:ind w:left="432"/>
      </w:pPr>
      <w:r>
        <w:rPr>
          <w:rFonts w:ascii="Courier New" w:hAnsi="Courier New"/>
          <w:color w:val="646464"/>
          <w:sz w:val="20"/>
        </w:rPr>
        <w:t xml:space="preserve">      month=02/</w:t>
      </w:r>
    </w:p>
    <w:p>
      <w:pPr>
        <w:spacing w:after="0"/>
        <w:ind w:left="432"/>
      </w:pPr>
      <w:r>
        <w:rPr>
          <w:rFonts w:ascii="Courier New" w:hAnsi="Courier New"/>
          <w:color w:val="646464"/>
          <w:sz w:val="20"/>
        </w:rPr>
        <w:t xml:space="preserve">        ...</w:t>
      </w:r>
    </w:p>
    <w:tbl>
      <w:tblPr>
        <w:tblW w:type="auto" w:w="0"/>
        <w:tblLook w:firstColumn="1" w:firstRow="1" w:lastColumn="0" w:lastRow="0" w:noHBand="0" w:noVBand="1" w:val="04A0"/>
        <w:tblBorders>
          <w:top w:val="none" w:sz="0" w:space="0" w:color="auto"/>
          <w:left w:val="single" w:sz="12" w:space="0" w:color="286E50"/>
          <w:bottom w:val="none" w:sz="0" w:space="0" w:color="auto"/>
          <w:right w:val="none" w:sz="0" w:space="0" w:color="auto"/>
        </w:tblBorders>
      </w:tblPr>
      <w:tblGrid>
        <w:gridCol w:w="8784"/>
      </w:tblGrid>
      <w:tr>
        <w:tc>
          <w:tcPr>
            <w:tcW w:type="dxa" w:w="8784"/>
            <w:shd w:fill="e8f4ec"/>
          </w:tcPr>
          <w:p>
            <w:r/>
            <w:r>
              <w:rPr>
                <w:rFonts w:ascii="Google Sans" w:hAnsi="Google Sans"/>
                <w:b/>
                <w:color w:val="1E5032"/>
                <w:sz w:val="21"/>
              </w:rPr>
              <w:t xml:space="preserve">CSV convention: </w:t>
            </w:r>
            <w:r>
              <w:rPr>
                <w:rFonts w:ascii="Google Sans" w:hAnsi="Google Sans"/>
                <w:color w:val="1E5032"/>
                <w:sz w:val="21"/>
              </w:rPr>
              <w:t xml:space="preserve">  Each CSV file includes a header row. A companion _header_v3.csv file is written once per batch to define column names, types, and ordering for the schema version. JSONB fields (e.g., payload) are serialized as escaped JSON strings in a single column.</w:t>
            </w:r>
          </w:p>
        </w:tc>
      </w:tr>
    </w:tbl>
    <w:p/>
    <w:p>
      <w:pPr>
        <w:spacing w:before="320" w:after="120"/>
      </w:pPr>
      <w:r>
        <w:rPr>
          <w:rFonts w:ascii="Google Sans" w:hAnsi="Google Sans"/>
          <w:b/>
          <w:color w:val="286E50"/>
          <w:sz w:val="28"/>
        </w:rPr>
        <w:t>6c. External PostgreSQL Database — Archive Schema</w:t>
      </w:r>
    </w:p>
    <w:p>
      <w:pPr>
        <w:spacing w:after="80"/>
      </w:pPr>
      <w:r>
        <w:rPr>
          <w:rFonts w:ascii="Google Sans" w:hAnsi="Google Sans"/>
          <w:b w:val="0"/>
          <w:color w:val="646464"/>
          <w:sz w:val="22"/>
        </w:rPr>
        <w:t xml:space="preserve">The external Postgres instance hosts a dedicated archive schema. Tables mirror the denormalized envelope structure — </w:t>
      </w:r>
      <w:r>
        <w:rPr>
          <w:rFonts w:ascii="Google Sans" w:hAnsi="Google Sans"/>
          <w:b/>
          <w:color w:val="646464"/>
          <w:sz w:val="22"/>
        </w:rPr>
        <w:t>not</w:t>
      </w:r>
      <w:r>
        <w:rPr>
          <w:rFonts w:ascii="Google Sans" w:hAnsi="Google Sans"/>
          <w:b w:val="0"/>
          <w:color w:val="646464"/>
          <w:sz w:val="22"/>
        </w:rPr>
        <w:t xml:space="preserve"> the normalized source schema. All FK references are resolved to human-readable values at export time.</w:t>
      </w:r>
    </w:p>
    <w:p>
      <w:pPr>
        <w:spacing w:before="240" w:after="80"/>
      </w:pPr>
      <w:r>
        <w:rPr>
          <w:rFonts w:ascii="Google Sans" w:hAnsi="Google Sans"/>
          <w:b/>
          <w:color w:val="1E5AA0"/>
          <w:sz w:val="24"/>
        </w:rPr>
        <w:t>Archive Schema Tables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28"/>
        <w:gridCol w:w="2928"/>
        <w:gridCol w:w="2928"/>
      </w:tblGrid>
      <w:tr>
        <w:tc>
          <w:tcPr>
            <w:tcW w:type="dxa" w:w="2928"/>
            <w:shd w:fill="1e5aa0"/>
          </w:tcPr>
          <w:p>
            <w:r/>
            <w:r>
              <w:rPr>
                <w:rFonts w:ascii="Google Sans" w:hAnsi="Google Sans"/>
                <w:b/>
                <w:color w:val="FFFFFF"/>
                <w:sz w:val="20"/>
              </w:rPr>
              <w:t>Table</w:t>
            </w:r>
          </w:p>
        </w:tc>
        <w:tc>
          <w:tcPr>
            <w:tcW w:type="dxa" w:w="2928"/>
            <w:shd w:fill="1e5aa0"/>
          </w:tcPr>
          <w:p>
            <w:r/>
            <w:r>
              <w:rPr>
                <w:rFonts w:ascii="Google Sans" w:hAnsi="Google Sans"/>
                <w:b/>
                <w:color w:val="FFFFFF"/>
                <w:sz w:val="20"/>
              </w:rPr>
              <w:t>Description</w:t>
            </w:r>
          </w:p>
        </w:tc>
        <w:tc>
          <w:tcPr>
            <w:tcW w:type="dxa" w:w="2928"/>
            <w:shd w:fill="1e5aa0"/>
          </w:tcPr>
          <w:p>
            <w:r/>
            <w:r>
              <w:rPr>
                <w:rFonts w:ascii="Google Sans" w:hAnsi="Google Sans"/>
                <w:b/>
                <w:color w:val="FFFFFF"/>
                <w:sz w:val="20"/>
              </w:rPr>
              <w:t>Key Columns</w:t>
            </w:r>
          </w:p>
        </w:tc>
      </w:tr>
      <w:tr>
        <w:tc>
          <w:tcPr>
            <w:tcW w:type="dxa" w:w="2928"/>
          </w:tcPr>
          <w:p>
            <w:r/>
            <w:r>
              <w:rPr>
                <w:rFonts w:ascii="Google Sans" w:hAnsi="Google Sans"/>
                <w:color w:val="000000"/>
                <w:sz w:val="20"/>
              </w:rPr>
              <w:t>archive.leads</w:t>
            </w:r>
          </w:p>
        </w:tc>
        <w:tc>
          <w:tcPr>
            <w:tcW w:type="dxa" w:w="2928"/>
          </w:tcPr>
          <w:p>
            <w:r/>
            <w:r>
              <w:rPr>
                <w:rFonts w:ascii="Google Sans" w:hAnsi="Google Sans"/>
                <w:color w:val="000000"/>
                <w:sz w:val="20"/>
              </w:rPr>
              <w:t>One row per archived lead</w:t>
            </w:r>
          </w:p>
        </w:tc>
        <w:tc>
          <w:tcPr>
            <w:tcW w:type="dxa" w:w="2928"/>
          </w:tcPr>
          <w:p>
            <w:r/>
            <w:r>
              <w:rPr>
                <w:rFonts w:ascii="Google Sans" w:hAnsi="Google Sans"/>
                <w:color w:val="000000"/>
                <w:sz w:val="20"/>
              </w:rPr>
              <w:t>lead_id (PK), customer_name, agent_name, closure_reason, product_type, schema_version, archived_at</w:t>
            </w:r>
          </w:p>
        </w:tc>
      </w:tr>
      <w:tr>
        <w:tc>
          <w:tcPr>
            <w:tcW w:type="dxa" w:w="2928"/>
            <w:shd w:fill="f2f7fc"/>
          </w:tcPr>
          <w:p>
            <w:r/>
            <w:r>
              <w:rPr>
                <w:rFonts w:ascii="Google Sans" w:hAnsi="Google Sans"/>
                <w:color w:val="000000"/>
                <w:sz w:val="20"/>
              </w:rPr>
              <w:t>archive.lead_documents</w:t>
            </w:r>
          </w:p>
        </w:tc>
        <w:tc>
          <w:tcPr>
            <w:tcW w:type="dxa" w:w="2928"/>
            <w:shd w:fill="f2f7fc"/>
          </w:tcPr>
          <w:p>
            <w:r/>
            <w:r>
              <w:rPr>
                <w:rFonts w:ascii="Google Sans" w:hAnsi="Google Sans"/>
                <w:color w:val="000000"/>
                <w:sz w:val="20"/>
              </w:rPr>
              <w:t>One row per document</w:t>
            </w:r>
          </w:p>
        </w:tc>
        <w:tc>
          <w:tcPr>
            <w:tcW w:type="dxa" w:w="2928"/>
            <w:shd w:fill="f2f7fc"/>
          </w:tcPr>
          <w:p>
            <w:r/>
            <w:r>
              <w:rPr>
                <w:rFonts w:ascii="Google Sans" w:hAnsi="Google Sans"/>
                <w:color w:val="000000"/>
                <w:sz w:val="20"/>
              </w:rPr>
              <w:t>document_id (PK), lead_id, document_type, file_path, created_at</w:t>
            </w:r>
          </w:p>
        </w:tc>
      </w:tr>
      <w:tr>
        <w:tc>
          <w:tcPr>
            <w:tcW w:type="dxa" w:w="2928"/>
          </w:tcPr>
          <w:p>
            <w:r/>
            <w:r>
              <w:rPr>
                <w:rFonts w:ascii="Google Sans" w:hAnsi="Google Sans"/>
                <w:color w:val="000000"/>
                <w:sz w:val="20"/>
              </w:rPr>
              <w:t>archive.lead_activities</w:t>
            </w:r>
          </w:p>
        </w:tc>
        <w:tc>
          <w:tcPr>
            <w:tcW w:type="dxa" w:w="2928"/>
          </w:tcPr>
          <w:p>
            <w:r/>
            <w:r>
              <w:rPr>
                <w:rFonts w:ascii="Google Sans" w:hAnsi="Google Sans"/>
                <w:color w:val="000000"/>
                <w:sz w:val="20"/>
              </w:rPr>
              <w:t>One row per activity</w:t>
            </w:r>
          </w:p>
        </w:tc>
        <w:tc>
          <w:tcPr>
            <w:tcW w:type="dxa" w:w="2928"/>
          </w:tcPr>
          <w:p>
            <w:r/>
            <w:r>
              <w:rPr>
                <w:rFonts w:ascii="Google Sans" w:hAnsi="Google Sans"/>
                <w:color w:val="000000"/>
                <w:sz w:val="20"/>
              </w:rPr>
              <w:t>activity_id (PK), lead_id, activity_type, description, performed_by, created_at</w:t>
            </w:r>
          </w:p>
        </w:tc>
      </w:tr>
      <w:tr>
        <w:tc>
          <w:tcPr>
            <w:tcW w:type="dxa" w:w="2928"/>
            <w:shd w:fill="f2f7fc"/>
          </w:tcPr>
          <w:p>
            <w:r/>
            <w:r>
              <w:rPr>
                <w:rFonts w:ascii="Google Sans" w:hAnsi="Google Sans"/>
                <w:color w:val="000000"/>
                <w:sz w:val="20"/>
              </w:rPr>
              <w:t>archive.lead_assignments</w:t>
            </w:r>
          </w:p>
        </w:tc>
        <w:tc>
          <w:tcPr>
            <w:tcW w:type="dxa" w:w="2928"/>
            <w:shd w:fill="f2f7fc"/>
          </w:tcPr>
          <w:p>
            <w:r/>
            <w:r>
              <w:rPr>
                <w:rFonts w:ascii="Google Sans" w:hAnsi="Google Sans"/>
                <w:color w:val="000000"/>
                <w:sz w:val="20"/>
              </w:rPr>
              <w:t>One row per assignment</w:t>
            </w:r>
          </w:p>
        </w:tc>
        <w:tc>
          <w:tcPr>
            <w:tcW w:type="dxa" w:w="2928"/>
            <w:shd w:fill="f2f7fc"/>
          </w:tcPr>
          <w:p>
            <w:r/>
            <w:r>
              <w:rPr>
                <w:rFonts w:ascii="Google Sans" w:hAnsi="Google Sans"/>
                <w:color w:val="000000"/>
                <w:sz w:val="20"/>
              </w:rPr>
              <w:t>assignment_id (PK), lead_id, assigned_to, assigned_from, assigned_at</w:t>
            </w:r>
          </w:p>
        </w:tc>
      </w:tr>
      <w:tr>
        <w:tc>
          <w:tcPr>
            <w:tcW w:type="dxa" w:w="2928"/>
          </w:tcPr>
          <w:p>
            <w:r/>
            <w:r>
              <w:rPr>
                <w:rFonts w:ascii="Google Sans" w:hAnsi="Google Sans"/>
                <w:color w:val="000000"/>
                <w:sz w:val="20"/>
              </w:rPr>
              <w:t>archive.payments</w:t>
            </w:r>
          </w:p>
        </w:tc>
        <w:tc>
          <w:tcPr>
            <w:tcW w:type="dxa" w:w="2928"/>
          </w:tcPr>
          <w:p>
            <w:r/>
            <w:r>
              <w:rPr>
                <w:rFonts w:ascii="Google Sans" w:hAnsi="Google Sans"/>
                <w:color w:val="000000"/>
                <w:sz w:val="20"/>
              </w:rPr>
              <w:t>One row per payment, line items as JSONB array</w:t>
            </w:r>
          </w:p>
        </w:tc>
        <w:tc>
          <w:tcPr>
            <w:tcW w:type="dxa" w:w="2928"/>
          </w:tcPr>
          <w:p>
            <w:r/>
            <w:r>
              <w:rPr>
                <w:rFonts w:ascii="Google Sans" w:hAnsi="Google Sans"/>
                <w:color w:val="000000"/>
                <w:sz w:val="20"/>
              </w:rPr>
              <w:t>payment_id (PK), lead_id, amount, status, line_items (JSONB), created_at</w:t>
            </w:r>
          </w:p>
        </w:tc>
      </w:tr>
    </w:tbl>
    <w:p/>
    <w:p>
      <w:pPr>
        <w:spacing w:before="240" w:after="80"/>
      </w:pPr>
      <w:r>
        <w:rPr>
          <w:rFonts w:ascii="Google Sans" w:hAnsi="Google Sans"/>
          <w:b/>
          <w:color w:val="1E5AA0"/>
          <w:sz w:val="24"/>
        </w:rPr>
        <w:t>External DB Connection Configuration</w:t>
      </w:r>
    </w:p>
    <w:p>
      <w:pPr>
        <w:spacing w:after="80"/>
      </w:pPr>
      <w:r>
        <w:rPr>
          <w:rFonts w:ascii="Google Sans" w:hAnsi="Google Sans"/>
          <w:b w:val="0"/>
          <w:color w:val="646464"/>
          <w:sz w:val="22"/>
        </w:rPr>
        <w:t xml:space="preserve">Connection details are stored as an </w:t>
      </w:r>
      <w:r>
        <w:rPr>
          <w:rFonts w:ascii="Google Sans" w:hAnsi="Google Sans"/>
          <w:b/>
          <w:color w:val="646464"/>
          <w:sz w:val="22"/>
        </w:rPr>
        <w:t>Airflow connection</w:t>
      </w:r>
      <w:r>
        <w:rPr>
          <w:rFonts w:ascii="Google Sans" w:hAnsi="Google Sans"/>
          <w:b w:val="0"/>
          <w:color w:val="646464"/>
          <w:sz w:val="22"/>
        </w:rPr>
        <w:t xml:space="preserve"> (conn_id) and secrets are managed through the Airflow secrets backend (e.g., Vault, AWS Secrets Manager).</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28"/>
        <w:gridCol w:w="2928"/>
        <w:gridCol w:w="2928"/>
      </w:tblGrid>
      <w:tr>
        <w:tc>
          <w:tcPr>
            <w:tcW w:type="dxa" w:w="2928"/>
            <w:shd w:fill="1e5aa0"/>
          </w:tcPr>
          <w:p>
            <w:r/>
            <w:r>
              <w:rPr>
                <w:rFonts w:ascii="Google Sans" w:hAnsi="Google Sans"/>
                <w:b/>
                <w:color w:val="FFFFFF"/>
                <w:sz w:val="20"/>
              </w:rPr>
              <w:t>Parameter</w:t>
            </w:r>
          </w:p>
        </w:tc>
        <w:tc>
          <w:tcPr>
            <w:tcW w:type="dxa" w:w="2928"/>
            <w:shd w:fill="1e5aa0"/>
          </w:tcPr>
          <w:p>
            <w:r/>
            <w:r>
              <w:rPr>
                <w:rFonts w:ascii="Google Sans" w:hAnsi="Google Sans"/>
                <w:b/>
                <w:color w:val="FFFFFF"/>
                <w:sz w:val="20"/>
              </w:rPr>
              <w:t>Source</w:t>
            </w:r>
          </w:p>
        </w:tc>
        <w:tc>
          <w:tcPr>
            <w:tcW w:type="dxa" w:w="2928"/>
            <w:shd w:fill="1e5aa0"/>
          </w:tcPr>
          <w:p>
            <w:r/>
            <w:r>
              <w:rPr>
                <w:rFonts w:ascii="Google Sans" w:hAnsi="Google Sans"/>
                <w:b/>
                <w:color w:val="FFFFFF"/>
                <w:sz w:val="20"/>
              </w:rPr>
              <w:t>Example</w:t>
            </w:r>
          </w:p>
        </w:tc>
      </w:tr>
      <w:tr>
        <w:tc>
          <w:tcPr>
            <w:tcW w:type="dxa" w:w="2928"/>
          </w:tcPr>
          <w:p>
            <w:r/>
            <w:r>
              <w:rPr>
                <w:rFonts w:ascii="Google Sans" w:hAnsi="Google Sans"/>
                <w:color w:val="000000"/>
                <w:sz w:val="20"/>
              </w:rPr>
              <w:t>host</w:t>
            </w:r>
          </w:p>
        </w:tc>
        <w:tc>
          <w:tcPr>
            <w:tcW w:type="dxa" w:w="2928"/>
          </w:tcPr>
          <w:p>
            <w:r/>
            <w:r>
              <w:rPr>
                <w:rFonts w:ascii="Google Sans" w:hAnsi="Google Sans"/>
                <w:color w:val="000000"/>
                <w:sz w:val="20"/>
              </w:rPr>
              <w:t>Airflow connection</w:t>
            </w:r>
          </w:p>
        </w:tc>
        <w:tc>
          <w:tcPr>
            <w:tcW w:type="dxa" w:w="2928"/>
          </w:tcPr>
          <w:p>
            <w:r/>
            <w:r>
              <w:rPr>
                <w:rFonts w:ascii="Google Sans" w:hAnsi="Google Sans"/>
                <w:color w:val="000000"/>
                <w:sz w:val="20"/>
              </w:rPr>
              <w:t>archive-db.internal.example.com</w:t>
            </w:r>
          </w:p>
        </w:tc>
      </w:tr>
      <w:tr>
        <w:tc>
          <w:tcPr>
            <w:tcW w:type="dxa" w:w="2928"/>
            <w:shd w:fill="f2f7fc"/>
          </w:tcPr>
          <w:p>
            <w:r/>
            <w:r>
              <w:rPr>
                <w:rFonts w:ascii="Google Sans" w:hAnsi="Google Sans"/>
                <w:color w:val="000000"/>
                <w:sz w:val="20"/>
              </w:rPr>
              <w:t>port</w:t>
            </w:r>
          </w:p>
        </w:tc>
        <w:tc>
          <w:tcPr>
            <w:tcW w:type="dxa" w:w="2928"/>
            <w:shd w:fill="f2f7fc"/>
          </w:tcPr>
          <w:p>
            <w:r/>
            <w:r>
              <w:rPr>
                <w:rFonts w:ascii="Google Sans" w:hAnsi="Google Sans"/>
                <w:color w:val="000000"/>
                <w:sz w:val="20"/>
              </w:rPr>
              <w:t>Airflow connection</w:t>
            </w:r>
          </w:p>
        </w:tc>
        <w:tc>
          <w:tcPr>
            <w:tcW w:type="dxa" w:w="2928"/>
            <w:shd w:fill="f2f7fc"/>
          </w:tcPr>
          <w:p>
            <w:r/>
            <w:r>
              <w:rPr>
                <w:rFonts w:ascii="Google Sans" w:hAnsi="Google Sans"/>
                <w:color w:val="000000"/>
                <w:sz w:val="20"/>
              </w:rPr>
              <w:t>5432</w:t>
            </w:r>
          </w:p>
        </w:tc>
      </w:tr>
      <w:tr>
        <w:tc>
          <w:tcPr>
            <w:tcW w:type="dxa" w:w="2928"/>
          </w:tcPr>
          <w:p>
            <w:r/>
            <w:r>
              <w:rPr>
                <w:rFonts w:ascii="Google Sans" w:hAnsi="Google Sans"/>
                <w:color w:val="000000"/>
                <w:sz w:val="20"/>
              </w:rPr>
              <w:t>database</w:t>
            </w:r>
          </w:p>
        </w:tc>
        <w:tc>
          <w:tcPr>
            <w:tcW w:type="dxa" w:w="2928"/>
          </w:tcPr>
          <w:p>
            <w:r/>
            <w:r>
              <w:rPr>
                <w:rFonts w:ascii="Google Sans" w:hAnsi="Google Sans"/>
                <w:color w:val="000000"/>
                <w:sz w:val="20"/>
              </w:rPr>
              <w:t>Airflow connection</w:t>
            </w:r>
          </w:p>
        </w:tc>
        <w:tc>
          <w:tcPr>
            <w:tcW w:type="dxa" w:w="2928"/>
          </w:tcPr>
          <w:p>
            <w:r/>
            <w:r>
              <w:rPr>
                <w:rFonts w:ascii="Google Sans" w:hAnsi="Google Sans"/>
                <w:color w:val="000000"/>
                <w:sz w:val="20"/>
              </w:rPr>
              <w:t>archival_store</w:t>
            </w:r>
          </w:p>
        </w:tc>
      </w:tr>
      <w:tr>
        <w:tc>
          <w:tcPr>
            <w:tcW w:type="dxa" w:w="2928"/>
            <w:shd w:fill="f2f7fc"/>
          </w:tcPr>
          <w:p>
            <w:r/>
            <w:r>
              <w:rPr>
                <w:rFonts w:ascii="Google Sans" w:hAnsi="Google Sans"/>
                <w:color w:val="000000"/>
                <w:sz w:val="20"/>
              </w:rPr>
              <w:t>schema</w:t>
            </w:r>
          </w:p>
        </w:tc>
        <w:tc>
          <w:tcPr>
            <w:tcW w:type="dxa" w:w="2928"/>
            <w:shd w:fill="f2f7fc"/>
          </w:tcPr>
          <w:p>
            <w:r/>
            <w:r>
              <w:rPr>
                <w:rFonts w:ascii="Google Sans" w:hAnsi="Google Sans"/>
                <w:color w:val="000000"/>
                <w:sz w:val="20"/>
              </w:rPr>
              <w:t>Airflow connection (extra)</w:t>
            </w:r>
          </w:p>
        </w:tc>
        <w:tc>
          <w:tcPr>
            <w:tcW w:type="dxa" w:w="2928"/>
            <w:shd w:fill="f2f7fc"/>
          </w:tcPr>
          <w:p>
            <w:r/>
            <w:r>
              <w:rPr>
                <w:rFonts w:ascii="Google Sans" w:hAnsi="Google Sans"/>
                <w:color w:val="000000"/>
                <w:sz w:val="20"/>
              </w:rPr>
              <w:t>archive</w:t>
            </w:r>
          </w:p>
        </w:tc>
      </w:tr>
      <w:tr>
        <w:tc>
          <w:tcPr>
            <w:tcW w:type="dxa" w:w="2928"/>
          </w:tcPr>
          <w:p>
            <w:r/>
            <w:r>
              <w:rPr>
                <w:rFonts w:ascii="Google Sans" w:hAnsi="Google Sans"/>
                <w:color w:val="000000"/>
                <w:sz w:val="20"/>
              </w:rPr>
              <w:t>username</w:t>
            </w:r>
          </w:p>
        </w:tc>
        <w:tc>
          <w:tcPr>
            <w:tcW w:type="dxa" w:w="2928"/>
          </w:tcPr>
          <w:p>
            <w:r/>
            <w:r>
              <w:rPr>
                <w:rFonts w:ascii="Google Sans" w:hAnsi="Google Sans"/>
                <w:color w:val="000000"/>
                <w:sz w:val="20"/>
              </w:rPr>
              <w:t>Secrets backend</w:t>
            </w:r>
          </w:p>
        </w:tc>
        <w:tc>
          <w:tcPr>
            <w:tcW w:type="dxa" w:w="2928"/>
          </w:tcPr>
          <w:p>
            <w:r/>
            <w:r>
              <w:rPr>
                <w:rFonts w:ascii="Google Sans" w:hAnsi="Google Sans"/>
                <w:color w:val="000000"/>
                <w:sz w:val="20"/>
              </w:rPr>
              <w:t>archival_writer</w:t>
            </w:r>
          </w:p>
        </w:tc>
      </w:tr>
      <w:tr>
        <w:tc>
          <w:tcPr>
            <w:tcW w:type="dxa" w:w="2928"/>
            <w:shd w:fill="f2f7fc"/>
          </w:tcPr>
          <w:p>
            <w:r/>
            <w:r>
              <w:rPr>
                <w:rFonts w:ascii="Google Sans" w:hAnsi="Google Sans"/>
                <w:color w:val="000000"/>
                <w:sz w:val="20"/>
              </w:rPr>
              <w:t>password</w:t>
            </w:r>
          </w:p>
        </w:tc>
        <w:tc>
          <w:tcPr>
            <w:tcW w:type="dxa" w:w="2928"/>
            <w:shd w:fill="f2f7fc"/>
          </w:tcPr>
          <w:p>
            <w:r/>
            <w:r>
              <w:rPr>
                <w:rFonts w:ascii="Google Sans" w:hAnsi="Google Sans"/>
                <w:color w:val="000000"/>
                <w:sz w:val="20"/>
              </w:rPr>
              <w:t>Secrets backend</w:t>
            </w:r>
          </w:p>
        </w:tc>
        <w:tc>
          <w:tcPr>
            <w:tcW w:type="dxa" w:w="2928"/>
            <w:shd w:fill="f2f7fc"/>
          </w:tcPr>
          <w:p>
            <w:r/>
            <w:r>
              <w:rPr>
                <w:rFonts w:ascii="Google Sans" w:hAnsi="Google Sans"/>
                <w:color w:val="000000"/>
                <w:sz w:val="20"/>
              </w:rPr>
              <w:t>(managed secret)</w:t>
            </w:r>
          </w:p>
        </w:tc>
      </w:tr>
      <w:tr>
        <w:tc>
          <w:tcPr>
            <w:tcW w:type="dxa" w:w="2928"/>
          </w:tcPr>
          <w:p>
            <w:r/>
            <w:r>
              <w:rPr>
                <w:rFonts w:ascii="Google Sans" w:hAnsi="Google Sans"/>
                <w:color w:val="000000"/>
                <w:sz w:val="20"/>
              </w:rPr>
              <w:t>ssl_mode</w:t>
            </w:r>
          </w:p>
        </w:tc>
        <w:tc>
          <w:tcPr>
            <w:tcW w:type="dxa" w:w="2928"/>
          </w:tcPr>
          <w:p>
            <w:r/>
            <w:r>
              <w:rPr>
                <w:rFonts w:ascii="Google Sans" w:hAnsi="Google Sans"/>
                <w:color w:val="000000"/>
                <w:sz w:val="20"/>
              </w:rPr>
              <w:t>Airflow connection (extra)</w:t>
            </w:r>
          </w:p>
        </w:tc>
        <w:tc>
          <w:tcPr>
            <w:tcW w:type="dxa" w:w="2928"/>
          </w:tcPr>
          <w:p>
            <w:r/>
            <w:r>
              <w:rPr>
                <w:rFonts w:ascii="Google Sans" w:hAnsi="Google Sans"/>
                <w:color w:val="000000"/>
                <w:sz w:val="20"/>
              </w:rPr>
              <w:t>require</w:t>
            </w:r>
          </w:p>
        </w:tc>
      </w:tr>
    </w:tbl>
    <w:p/>
    <w:tbl>
      <w:tblPr>
        <w:tblW w:type="auto" w:w="0"/>
        <w:tblLook w:firstColumn="1" w:firstRow="1" w:lastColumn="0" w:lastRow="0" w:noHBand="0" w:noVBand="1" w:val="04A0"/>
        <w:tblBorders>
          <w:top w:val="none" w:sz="0" w:space="0" w:color="auto"/>
          <w:left w:val="single" w:sz="12" w:space="0" w:color="286E50"/>
          <w:bottom w:val="none" w:sz="0" w:space="0" w:color="auto"/>
          <w:right w:val="none" w:sz="0" w:space="0" w:color="auto"/>
        </w:tblBorders>
      </w:tblPr>
      <w:tblGrid>
        <w:gridCol w:w="8784"/>
      </w:tblGrid>
      <w:tr>
        <w:tc>
          <w:tcPr>
            <w:tcW w:type="dxa" w:w="8784"/>
            <w:shd w:fill="fff8e1"/>
          </w:tcPr>
          <w:p>
            <w:r/>
            <w:r>
              <w:rPr>
                <w:rFonts w:ascii="Google Sans" w:hAnsi="Google Sans"/>
                <w:b/>
                <w:color w:val="1E5032"/>
                <w:sz w:val="21"/>
              </w:rPr>
              <w:t xml:space="preserve">Important: </w:t>
            </w:r>
            <w:r>
              <w:rPr>
                <w:rFonts w:ascii="Google Sans" w:hAnsi="Google Sans"/>
                <w:color w:val="1E5032"/>
                <w:sz w:val="21"/>
              </w:rPr>
              <w:t xml:space="preserve">  The external DB must be a </w:t>
            </w:r>
            <w:r>
              <w:rPr>
                <w:rFonts w:ascii="Google Sans" w:hAnsi="Google Sans"/>
                <w:b/>
                <w:color w:val="1E5032"/>
                <w:sz w:val="21"/>
              </w:rPr>
              <w:t>separate Postgres instance</w:t>
            </w:r>
            <w:r>
              <w:rPr>
                <w:rFonts w:ascii="Google Sans" w:hAnsi="Google Sans"/>
                <w:color w:val="1E5032"/>
                <w:sz w:val="21"/>
              </w:rPr>
              <w:t xml:space="preserve"> — never the primary application database. Write access is limited to the archive schema using a dedicated, least-privilege database role. Connection pooling (e.g., PgBouncer) is recommended for high-batch runs.</w:t>
            </w:r>
          </w:p>
        </w:tc>
      </w:tr>
    </w:tbl>
    <w:p/>
    <w:p>
      <w:pPr>
        <w:spacing w:before="320" w:after="120"/>
      </w:pPr>
      <w:r>
        <w:rPr>
          <w:rFonts w:ascii="Google Sans" w:hAnsi="Google Sans"/>
          <w:b/>
          <w:color w:val="286E50"/>
          <w:sz w:val="28"/>
        </w:rPr>
        <w:t>Export Target Comparison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96"/>
        <w:gridCol w:w="2196"/>
        <w:gridCol w:w="2196"/>
        <w:gridCol w:w="2196"/>
      </w:tblGrid>
      <w:tr>
        <w:tc>
          <w:tcPr>
            <w:tcW w:type="dxa" w:w="2196"/>
            <w:shd w:fill="1e5aa0"/>
          </w:tcPr>
          <w:p>
            <w:r/>
            <w:r>
              <w:rPr>
                <w:rFonts w:ascii="Google Sans" w:hAnsi="Google Sans"/>
                <w:b/>
                <w:color w:val="FFFFFF"/>
                <w:sz w:val="20"/>
              </w:rPr>
              <w:t>Property</w:t>
            </w:r>
          </w:p>
        </w:tc>
        <w:tc>
          <w:tcPr>
            <w:tcW w:type="dxa" w:w="2196"/>
            <w:shd w:fill="1e5aa0"/>
          </w:tcPr>
          <w:p>
            <w:r/>
            <w:r>
              <w:rPr>
                <w:rFonts w:ascii="Google Sans" w:hAnsi="Google Sans"/>
                <w:b/>
                <w:color w:val="FFFFFF"/>
                <w:sz w:val="20"/>
              </w:rPr>
              <w:t>Parquet</w:t>
            </w:r>
          </w:p>
        </w:tc>
        <w:tc>
          <w:tcPr>
            <w:tcW w:type="dxa" w:w="2196"/>
            <w:shd w:fill="1e5aa0"/>
          </w:tcPr>
          <w:p>
            <w:r/>
            <w:r>
              <w:rPr>
                <w:rFonts w:ascii="Google Sans" w:hAnsi="Google Sans"/>
                <w:b/>
                <w:color w:val="FFFFFF"/>
                <w:sz w:val="20"/>
              </w:rPr>
              <w:t>CSV</w:t>
            </w:r>
          </w:p>
        </w:tc>
        <w:tc>
          <w:tcPr>
            <w:tcW w:type="dxa" w:w="2196"/>
            <w:shd w:fill="1e5aa0"/>
          </w:tcPr>
          <w:p>
            <w:r/>
            <w:r>
              <w:rPr>
                <w:rFonts w:ascii="Google Sans" w:hAnsi="Google Sans"/>
                <w:b/>
                <w:color w:val="FFFFFF"/>
                <w:sz w:val="20"/>
              </w:rPr>
              <w:t>External PostgreSQL DB</w:t>
            </w:r>
          </w:p>
        </w:tc>
      </w:tr>
      <w:tr>
        <w:tc>
          <w:tcPr>
            <w:tcW w:type="dxa" w:w="2196"/>
          </w:tcPr>
          <w:p>
            <w:r/>
            <w:r>
              <w:rPr>
                <w:rFonts w:ascii="Google Sans" w:hAnsi="Google Sans"/>
                <w:color w:val="000000"/>
                <w:sz w:val="20"/>
              </w:rPr>
              <w:t>Storage size (1M rows)</w:t>
            </w:r>
          </w:p>
        </w:tc>
        <w:tc>
          <w:tcPr>
            <w:tcW w:type="dxa" w:w="2196"/>
          </w:tcPr>
          <w:p>
            <w:r/>
            <w:r>
              <w:rPr>
                <w:rFonts w:ascii="Google Sans" w:hAnsi="Google Sans"/>
                <w:color w:val="000000"/>
                <w:sz w:val="20"/>
              </w:rPr>
              <w:t>~35 MB (columnar compression)</w:t>
            </w:r>
          </w:p>
        </w:tc>
        <w:tc>
          <w:tcPr>
            <w:tcW w:type="dxa" w:w="2196"/>
          </w:tcPr>
          <w:p>
            <w:r/>
            <w:r>
              <w:rPr>
                <w:rFonts w:ascii="Google Sans" w:hAnsi="Google Sans"/>
                <w:color w:val="000000"/>
                <w:sz w:val="20"/>
              </w:rPr>
              <w:t>~800 MB</w:t>
            </w:r>
          </w:p>
        </w:tc>
        <w:tc>
          <w:tcPr>
            <w:tcW w:type="dxa" w:w="2196"/>
          </w:tcPr>
          <w:p>
            <w:r/>
            <w:r>
              <w:rPr>
                <w:rFonts w:ascii="Google Sans" w:hAnsi="Google Sans"/>
                <w:color w:val="000000"/>
                <w:sz w:val="20"/>
              </w:rPr>
              <w:t>~600 MB (row storage + indexes)</w:t>
            </w:r>
          </w:p>
        </w:tc>
      </w:tr>
      <w:tr>
        <w:tc>
          <w:tcPr>
            <w:tcW w:type="dxa" w:w="2196"/>
            <w:shd w:fill="f2f7fc"/>
          </w:tcPr>
          <w:p>
            <w:r/>
            <w:r>
              <w:rPr>
                <w:rFonts w:ascii="Google Sans" w:hAnsi="Google Sans"/>
                <w:color w:val="000000"/>
                <w:sz w:val="20"/>
              </w:rPr>
              <w:t>Queryable without loading into DB</w:t>
            </w:r>
          </w:p>
        </w:tc>
        <w:tc>
          <w:tcPr>
            <w:tcW w:type="dxa" w:w="2196"/>
            <w:shd w:fill="f2f7fc"/>
          </w:tcPr>
          <w:p>
            <w:r/>
            <w:r>
              <w:rPr>
                <w:rFonts w:ascii="Google Sans" w:hAnsi="Google Sans"/>
                <w:color w:val="000000"/>
                <w:sz w:val="20"/>
              </w:rPr>
              <w:t>Yes (DuckDB, Athena)</w:t>
            </w:r>
          </w:p>
        </w:tc>
        <w:tc>
          <w:tcPr>
            <w:tcW w:type="dxa" w:w="2196"/>
            <w:shd w:fill="f2f7fc"/>
          </w:tcPr>
          <w:p>
            <w:r/>
            <w:r>
              <w:rPr>
                <w:rFonts w:ascii="Google Sans" w:hAnsi="Google Sans"/>
                <w:color w:val="000000"/>
                <w:sz w:val="20"/>
              </w:rPr>
              <w:t>No (must import first)</w:t>
            </w:r>
          </w:p>
        </w:tc>
        <w:tc>
          <w:tcPr>
            <w:tcW w:type="dxa" w:w="2196"/>
            <w:shd w:fill="f2f7fc"/>
          </w:tcPr>
          <w:p>
            <w:r/>
            <w:r>
              <w:rPr>
                <w:rFonts w:ascii="Google Sans" w:hAnsi="Google Sans"/>
                <w:color w:val="000000"/>
                <w:sz w:val="20"/>
              </w:rPr>
              <w:t>Yes (standard SQL)</w:t>
            </w:r>
          </w:p>
        </w:tc>
      </w:tr>
      <w:tr>
        <w:tc>
          <w:tcPr>
            <w:tcW w:type="dxa" w:w="2196"/>
          </w:tcPr>
          <w:p>
            <w:r/>
            <w:r>
              <w:rPr>
                <w:rFonts w:ascii="Google Sans" w:hAnsi="Google Sans"/>
                <w:color w:val="000000"/>
                <w:sz w:val="20"/>
              </w:rPr>
              <w:t>Schema embedded</w:t>
            </w:r>
          </w:p>
        </w:tc>
        <w:tc>
          <w:tcPr>
            <w:tcW w:type="dxa" w:w="2196"/>
          </w:tcPr>
          <w:p>
            <w:r/>
            <w:r>
              <w:rPr>
                <w:rFonts w:ascii="Google Sans" w:hAnsi="Google Sans"/>
                <w:color w:val="000000"/>
                <w:sz w:val="20"/>
              </w:rPr>
              <w:t>Yes</w:t>
            </w:r>
          </w:p>
        </w:tc>
        <w:tc>
          <w:tcPr>
            <w:tcW w:type="dxa" w:w="2196"/>
          </w:tcPr>
          <w:p>
            <w:r/>
            <w:r>
              <w:rPr>
                <w:rFonts w:ascii="Google Sans" w:hAnsi="Google Sans"/>
                <w:color w:val="000000"/>
                <w:sz w:val="20"/>
              </w:rPr>
              <w:t>No (companion header file)</w:t>
            </w:r>
          </w:p>
        </w:tc>
        <w:tc>
          <w:tcPr>
            <w:tcW w:type="dxa" w:w="2196"/>
          </w:tcPr>
          <w:p>
            <w:r/>
            <w:r>
              <w:rPr>
                <w:rFonts w:ascii="Google Sans" w:hAnsi="Google Sans"/>
                <w:color w:val="000000"/>
                <w:sz w:val="20"/>
              </w:rPr>
              <w:t>Yes (table DDL)</w:t>
            </w:r>
          </w:p>
        </w:tc>
      </w:tr>
      <w:tr>
        <w:tc>
          <w:tcPr>
            <w:tcW w:type="dxa" w:w="2196"/>
            <w:shd w:fill="f2f7fc"/>
          </w:tcPr>
          <w:p>
            <w:r/>
            <w:r>
              <w:rPr>
                <w:rFonts w:ascii="Google Sans" w:hAnsi="Google Sans"/>
                <w:color w:val="000000"/>
                <w:sz w:val="20"/>
              </w:rPr>
              <w:t>Partial column reads</w:t>
            </w:r>
          </w:p>
        </w:tc>
        <w:tc>
          <w:tcPr>
            <w:tcW w:type="dxa" w:w="2196"/>
            <w:shd w:fill="f2f7fc"/>
          </w:tcPr>
          <w:p>
            <w:r/>
            <w:r>
              <w:rPr>
                <w:rFonts w:ascii="Google Sans" w:hAnsi="Google Sans"/>
                <w:color w:val="000000"/>
                <w:sz w:val="20"/>
              </w:rPr>
              <w:t>Yes</w:t>
            </w:r>
          </w:p>
        </w:tc>
        <w:tc>
          <w:tcPr>
            <w:tcW w:type="dxa" w:w="2196"/>
            <w:shd w:fill="f2f7fc"/>
          </w:tcPr>
          <w:p>
            <w:r/>
            <w:r>
              <w:rPr>
                <w:rFonts w:ascii="Google Sans" w:hAnsi="Google Sans"/>
                <w:color w:val="000000"/>
                <w:sz w:val="20"/>
              </w:rPr>
              <w:t>No</w:t>
            </w:r>
          </w:p>
        </w:tc>
        <w:tc>
          <w:tcPr>
            <w:tcW w:type="dxa" w:w="2196"/>
            <w:shd w:fill="f2f7fc"/>
          </w:tcPr>
          <w:p>
            <w:r/>
            <w:r>
              <w:rPr>
                <w:rFonts w:ascii="Google Sans" w:hAnsi="Google Sans"/>
                <w:color w:val="000000"/>
                <w:sz w:val="20"/>
              </w:rPr>
              <w:t>Yes (SELECT specific columns)</w:t>
            </w:r>
          </w:p>
        </w:tc>
      </w:tr>
      <w:tr>
        <w:tc>
          <w:tcPr>
            <w:tcW w:type="dxa" w:w="2196"/>
          </w:tcPr>
          <w:p>
            <w:r/>
            <w:r>
              <w:rPr>
                <w:rFonts w:ascii="Google Sans" w:hAnsi="Google Sans"/>
                <w:color w:val="000000"/>
                <w:sz w:val="20"/>
              </w:rPr>
              <w:t>Nested data support</w:t>
            </w:r>
          </w:p>
        </w:tc>
        <w:tc>
          <w:tcPr>
            <w:tcW w:type="dxa" w:w="2196"/>
          </w:tcPr>
          <w:p>
            <w:r/>
            <w:r>
              <w:rPr>
                <w:rFonts w:ascii="Google Sans" w:hAnsi="Google Sans"/>
                <w:color w:val="000000"/>
                <w:sz w:val="20"/>
              </w:rPr>
              <w:t>Native (structs, arrays)</w:t>
            </w:r>
          </w:p>
        </w:tc>
        <w:tc>
          <w:tcPr>
            <w:tcW w:type="dxa" w:w="2196"/>
          </w:tcPr>
          <w:p>
            <w:r/>
            <w:r>
              <w:rPr>
                <w:rFonts w:ascii="Google Sans" w:hAnsi="Google Sans"/>
                <w:color w:val="000000"/>
                <w:sz w:val="20"/>
              </w:rPr>
              <w:t>No (must flatten or serialize)</w:t>
            </w:r>
          </w:p>
        </w:tc>
        <w:tc>
          <w:tcPr>
            <w:tcW w:type="dxa" w:w="2196"/>
          </w:tcPr>
          <w:p>
            <w:r/>
            <w:r>
              <w:rPr>
                <w:rFonts w:ascii="Google Sans" w:hAnsi="Google Sans"/>
                <w:color w:val="000000"/>
                <w:sz w:val="20"/>
              </w:rPr>
              <w:t>JSONB for nested arrays</w:t>
            </w:r>
          </w:p>
        </w:tc>
      </w:tr>
      <w:tr>
        <w:tc>
          <w:tcPr>
            <w:tcW w:type="dxa" w:w="2196"/>
            <w:shd w:fill="f2f7fc"/>
          </w:tcPr>
          <w:p>
            <w:r/>
            <w:r>
              <w:rPr>
                <w:rFonts w:ascii="Google Sans" w:hAnsi="Google Sans"/>
                <w:color w:val="000000"/>
                <w:sz w:val="20"/>
              </w:rPr>
              <w:t>Interoperability</w:t>
            </w:r>
          </w:p>
        </w:tc>
        <w:tc>
          <w:tcPr>
            <w:tcW w:type="dxa" w:w="2196"/>
            <w:shd w:fill="f2f7fc"/>
          </w:tcPr>
          <w:p>
            <w:r/>
            <w:r>
              <w:rPr>
                <w:rFonts w:ascii="Google Sans" w:hAnsi="Google Sans"/>
                <w:color w:val="000000"/>
                <w:sz w:val="20"/>
              </w:rPr>
              <w:t>Analytics tools, data lakes</w:t>
            </w:r>
          </w:p>
        </w:tc>
        <w:tc>
          <w:tcPr>
            <w:tcW w:type="dxa" w:w="2196"/>
            <w:shd w:fill="f2f7fc"/>
          </w:tcPr>
          <w:p>
            <w:r/>
            <w:r>
              <w:rPr>
                <w:rFonts w:ascii="Google Sans" w:hAnsi="Google Sans"/>
                <w:color w:val="000000"/>
                <w:sz w:val="20"/>
              </w:rPr>
              <w:t>Universal — any tool reads CSV</w:t>
            </w:r>
          </w:p>
        </w:tc>
        <w:tc>
          <w:tcPr>
            <w:tcW w:type="dxa" w:w="2196"/>
            <w:shd w:fill="f2f7fc"/>
          </w:tcPr>
          <w:p>
            <w:r/>
            <w:r>
              <w:rPr>
                <w:rFonts w:ascii="Google Sans" w:hAnsi="Google Sans"/>
                <w:color w:val="000000"/>
                <w:sz w:val="20"/>
              </w:rPr>
              <w:t>Any SQL client</w:t>
            </w:r>
          </w:p>
        </w:tc>
      </w:tr>
      <w:tr>
        <w:tc>
          <w:tcPr>
            <w:tcW w:type="dxa" w:w="2196"/>
          </w:tcPr>
          <w:p>
            <w:r/>
            <w:r>
              <w:rPr>
                <w:rFonts w:ascii="Google Sans" w:hAnsi="Google Sans"/>
                <w:color w:val="000000"/>
                <w:sz w:val="20"/>
              </w:rPr>
              <w:t>Retrieval latency</w:t>
            </w:r>
          </w:p>
        </w:tc>
        <w:tc>
          <w:tcPr>
            <w:tcW w:type="dxa" w:w="2196"/>
          </w:tcPr>
          <w:p>
            <w:r/>
            <w:r>
              <w:rPr>
                <w:rFonts w:ascii="Google Sans" w:hAnsi="Google Sans"/>
                <w:color w:val="000000"/>
                <w:sz w:val="20"/>
              </w:rPr>
              <w:t>Seconds (DuckDB + MinIO)</w:t>
            </w:r>
          </w:p>
        </w:tc>
        <w:tc>
          <w:tcPr>
            <w:tcW w:type="dxa" w:w="2196"/>
          </w:tcPr>
          <w:p>
            <w:r/>
            <w:r>
              <w:rPr>
                <w:rFonts w:ascii="Google Sans" w:hAnsi="Google Sans"/>
                <w:color w:val="000000"/>
                <w:sz w:val="20"/>
              </w:rPr>
              <w:t>Seconds (MinIO download)</w:t>
            </w:r>
          </w:p>
        </w:tc>
        <w:tc>
          <w:tcPr>
            <w:tcW w:type="dxa" w:w="2196"/>
          </w:tcPr>
          <w:p>
            <w:r/>
            <w:r>
              <w:rPr>
                <w:rFonts w:ascii="Google Sans" w:hAnsi="Google Sans"/>
                <w:color w:val="000000"/>
                <w:sz w:val="20"/>
              </w:rPr>
              <w:t>Sub-second (indexed SQL)</w:t>
            </w:r>
          </w:p>
        </w:tc>
      </w:tr>
      <w:tr>
        <w:tc>
          <w:tcPr>
            <w:tcW w:type="dxa" w:w="2196"/>
            <w:shd w:fill="f2f7fc"/>
          </w:tcPr>
          <w:p>
            <w:r/>
            <w:r>
              <w:rPr>
                <w:rFonts w:ascii="Google Sans" w:hAnsi="Google Sans"/>
                <w:color w:val="000000"/>
                <w:sz w:val="20"/>
              </w:rPr>
              <w:t>Operational overhead</w:t>
            </w:r>
          </w:p>
        </w:tc>
        <w:tc>
          <w:tcPr>
            <w:tcW w:type="dxa" w:w="2196"/>
            <w:shd w:fill="f2f7fc"/>
          </w:tcPr>
          <w:p>
            <w:r/>
            <w:r>
              <w:rPr>
                <w:rFonts w:ascii="Google Sans" w:hAnsi="Google Sans"/>
                <w:color w:val="000000"/>
                <w:sz w:val="20"/>
              </w:rPr>
              <w:t>Low (object storage)</w:t>
            </w:r>
          </w:p>
        </w:tc>
        <w:tc>
          <w:tcPr>
            <w:tcW w:type="dxa" w:w="2196"/>
            <w:shd w:fill="f2f7fc"/>
          </w:tcPr>
          <w:p>
            <w:r/>
            <w:r>
              <w:rPr>
                <w:rFonts w:ascii="Google Sans" w:hAnsi="Google Sans"/>
                <w:color w:val="000000"/>
                <w:sz w:val="20"/>
              </w:rPr>
              <w:t>Low (object storage)</w:t>
            </w:r>
          </w:p>
        </w:tc>
        <w:tc>
          <w:tcPr>
            <w:tcW w:type="dxa" w:w="2196"/>
            <w:shd w:fill="f2f7fc"/>
          </w:tcPr>
          <w:p>
            <w:r/>
            <w:r>
              <w:rPr>
                <w:rFonts w:ascii="Google Sans" w:hAnsi="Google Sans"/>
                <w:color w:val="000000"/>
                <w:sz w:val="20"/>
              </w:rPr>
              <w:t>Medium (DB maintenance, backups, scaling)</w:t>
            </w:r>
          </w:p>
        </w:tc>
      </w:tr>
      <w:tr>
        <w:tc>
          <w:tcPr>
            <w:tcW w:type="dxa" w:w="2196"/>
          </w:tcPr>
          <w:p>
            <w:r/>
            <w:r>
              <w:rPr>
                <w:rFonts w:ascii="Google Sans" w:hAnsi="Google Sans"/>
                <w:color w:val="000000"/>
                <w:sz w:val="20"/>
              </w:rPr>
              <w:t>Best for</w:t>
            </w:r>
          </w:p>
        </w:tc>
        <w:tc>
          <w:tcPr>
            <w:tcW w:type="dxa" w:w="2196"/>
          </w:tcPr>
          <w:p>
            <w:r/>
            <w:r>
              <w:rPr>
                <w:rFonts w:ascii="Google Sans" w:hAnsi="Google Sans"/>
                <w:color w:val="000000"/>
                <w:sz w:val="20"/>
              </w:rPr>
              <w:t>Long-term analytics, compliance</w:t>
            </w:r>
          </w:p>
        </w:tc>
        <w:tc>
          <w:tcPr>
            <w:tcW w:type="dxa" w:w="2196"/>
          </w:tcPr>
          <w:p>
            <w:r/>
            <w:r>
              <w:rPr>
                <w:rFonts w:ascii="Google Sans" w:hAnsi="Google Sans"/>
                <w:color w:val="000000"/>
                <w:sz w:val="20"/>
              </w:rPr>
              <w:t>External team sharing, audits</w:t>
            </w:r>
          </w:p>
        </w:tc>
        <w:tc>
          <w:tcPr>
            <w:tcW w:type="dxa" w:w="2196"/>
          </w:tcPr>
          <w:p>
            <w:r/>
            <w:r>
              <w:rPr>
                <w:rFonts w:ascii="Google Sans" w:hAnsi="Google Sans"/>
                <w:color w:val="000000"/>
                <w:sz w:val="20"/>
              </w:rPr>
              <w:t>SQL-native consumers, low-latency lookups</w:t>
            </w:r>
          </w:p>
        </w:tc>
      </w:tr>
    </w:tbl>
    <w:p/>
    <w:tbl>
      <w:tblPr>
        <w:tblW w:type="auto" w:w="0"/>
        <w:tblLook w:firstColumn="1" w:firstRow="1" w:lastColumn="0" w:lastRow="0" w:noHBand="0" w:noVBand="1" w:val="04A0"/>
        <w:tblBorders>
          <w:top w:val="none" w:sz="0" w:space="0" w:color="auto"/>
          <w:left w:val="single" w:sz="12" w:space="0" w:color="286E50"/>
          <w:bottom w:val="none" w:sz="0" w:space="0" w:color="auto"/>
          <w:right w:val="none" w:sz="0" w:space="0" w:color="auto"/>
        </w:tblBorders>
      </w:tblPr>
      <w:tblGrid>
        <w:gridCol w:w="8784"/>
      </w:tblGrid>
      <w:tr>
        <w:tc>
          <w:tcPr>
            <w:tcW w:type="dxa" w:w="8784"/>
            <w:shd w:fill="e8f4ec"/>
          </w:tcPr>
          <w:p>
            <w:r/>
            <w:r>
              <w:rPr>
                <w:rFonts w:ascii="Google Sans" w:hAnsi="Google Sans"/>
                <w:b/>
                <w:color w:val="1E5032"/>
                <w:sz w:val="21"/>
              </w:rPr>
              <w:t xml:space="preserve">Recommendation: </w:t>
            </w:r>
            <w:r>
              <w:rPr>
                <w:rFonts w:ascii="Google Sans" w:hAnsi="Google Sans"/>
                <w:color w:val="1E5032"/>
                <w:sz w:val="21"/>
              </w:rPr>
              <w:t xml:space="preserve">  Parquet remains the </w:t>
            </w:r>
            <w:r>
              <w:rPr>
                <w:rFonts w:ascii="Google Sans" w:hAnsi="Google Sans"/>
                <w:b/>
                <w:color w:val="1E5032"/>
                <w:sz w:val="21"/>
              </w:rPr>
              <w:t>default and recommended</w:t>
            </w:r>
            <w:r>
              <w:rPr>
                <w:rFonts w:ascii="Google Sans" w:hAnsi="Google Sans"/>
                <w:color w:val="1E5032"/>
                <w:sz w:val="21"/>
              </w:rPr>
              <w:t xml:space="preserve"> export target for most use cases. CSV should be used when downstream consumers require flat-file interoperability. External PostgreSQL Database should be used when archived data must support ad-hoc relational queries with sub-second latency or when consumers are SQL-native applications.</w:t>
            </w:r>
          </w:p>
        </w:tc>
      </w:tr>
    </w:tbl>
    <w:p/>
    <w:p>
      <w:pPr>
        <w:spacing w:before="480" w:after="160"/>
      </w:pPr>
      <w:r>
        <w:rPr>
          <w:rFonts w:ascii="Google Sans" w:hAnsi="Google Sans"/>
          <w:b/>
          <w:color w:val="1E5AA0"/>
          <w:sz w:val="40"/>
        </w:rPr>
        <w:t>7. Retrieval Strategy</w:t>
      </w:r>
    </w:p>
    <w:p>
      <w:pPr>
        <w:spacing w:after="80"/>
      </w:pPr>
      <w:r>
        <w:rPr>
          <w:rFonts w:ascii="Google Sans" w:hAnsi="Google Sans"/>
          <w:b w:val="0"/>
          <w:color w:val="646464"/>
          <w:sz w:val="22"/>
        </w:rPr>
        <w:t xml:space="preserve">Retrieval behavior depends on the export target used at archival time. Not all export targets are designed for active retrieval — Parquet and CSV serve as </w:t>
      </w:r>
      <w:r>
        <w:rPr>
          <w:rFonts w:ascii="Google Sans" w:hAnsi="Google Sans"/>
          <w:b/>
          <w:color w:val="646464"/>
          <w:sz w:val="22"/>
        </w:rPr>
        <w:t>cold storage exports</w:t>
      </w:r>
      <w:r>
        <w:rPr>
          <w:rFonts w:ascii="Google Sans" w:hAnsi="Google Sans"/>
          <w:b w:val="0"/>
          <w:color w:val="646464"/>
          <w:sz w:val="22"/>
        </w:rPr>
        <w:t xml:space="preserve"> with no built-in retrieval path back into the application. The External PostgreSQL Database export is the only target that supports live data access, via </w:t>
      </w:r>
      <w:r>
        <w:rPr>
          <w:rFonts w:ascii="Google Sans" w:hAnsi="Google Sans"/>
          <w:b/>
          <w:color w:val="646464"/>
          <w:sz w:val="22"/>
        </w:rPr>
        <w:t>Datalens</w:t>
      </w:r>
      <w:r>
        <w:rPr>
          <w:rFonts w:ascii="Google Sans" w:hAnsi="Google Sans"/>
          <w:b w:val="0"/>
          <w:color w:val="646464"/>
          <w:sz w:val="22"/>
        </w:rPr>
        <w:t xml:space="preserve"> (our internal data exploration and visualization tool).</w:t>
      </w:r>
    </w:p>
    <w:p>
      <w:pPr>
        <w:spacing w:before="320" w:after="120"/>
      </w:pPr>
      <w:r>
        <w:rPr>
          <w:rFonts w:ascii="Google Sans" w:hAnsi="Google Sans"/>
          <w:b/>
          <w:color w:val="286E50"/>
          <w:sz w:val="28"/>
        </w:rPr>
        <w:t>Parquet &amp; CSV — No Application-Level Retrieval</w:t>
      </w:r>
    </w:p>
    <w:p>
      <w:pPr>
        <w:spacing w:after="80"/>
      </w:pPr>
      <w:r>
        <w:rPr>
          <w:rFonts w:ascii="Google Sans" w:hAnsi="Google Sans"/>
          <w:b w:val="0"/>
          <w:color w:val="646464"/>
          <w:sz w:val="22"/>
        </w:rPr>
        <w:t xml:space="preserve">Parquet and CSV exports are </w:t>
      </w:r>
      <w:r>
        <w:rPr>
          <w:rFonts w:ascii="Google Sans" w:hAnsi="Google Sans"/>
          <w:b/>
          <w:color w:val="646464"/>
          <w:sz w:val="22"/>
        </w:rPr>
        <w:t>write-once, cold storage archives</w:t>
      </w:r>
      <w:r>
        <w:rPr>
          <w:rFonts w:ascii="Google Sans" w:hAnsi="Google Sans"/>
          <w:b w:val="0"/>
          <w:color w:val="646464"/>
          <w:sz w:val="22"/>
        </w:rPr>
        <w:t>. They are not queryable through the application's APIs or query router. Their purpose is:</w:t>
      </w:r>
    </w:p>
    <w:p>
      <w:pPr>
        <w:spacing w:after="40"/>
        <w:ind w:left="504" w:hanging="288"/>
      </w:pPr>
      <w:r>
        <w:rPr>
          <w:rFonts w:ascii="Google Sans" w:hAnsi="Google Sans"/>
          <w:color w:val="646464"/>
          <w:sz w:val="22"/>
        </w:rPr>
        <w:t xml:space="preserve">• </w:t>
      </w:r>
      <w:r>
        <w:rPr>
          <w:rFonts w:ascii="Google Sans" w:hAnsi="Google Sans"/>
          <w:b/>
          <w:color w:val="646464"/>
          <w:sz w:val="22"/>
        </w:rPr>
        <w:t>Compliance &amp; audit retention</w:t>
      </w:r>
      <w:r>
        <w:rPr>
          <w:rFonts w:ascii="Google Sans" w:hAnsi="Google Sans"/>
          <w:color w:val="646464"/>
          <w:sz w:val="22"/>
        </w:rPr>
        <w:t xml:space="preserve"> — data exists in durable object storage for the legally required retention period</w:t>
      </w:r>
    </w:p>
    <w:p>
      <w:pPr>
        <w:spacing w:after="40"/>
        <w:ind w:left="504" w:hanging="288"/>
      </w:pPr>
      <w:r>
        <w:rPr>
          <w:rFonts w:ascii="Google Sans" w:hAnsi="Google Sans"/>
          <w:color w:val="646464"/>
          <w:sz w:val="22"/>
        </w:rPr>
        <w:t xml:space="preserve">• </w:t>
      </w:r>
      <w:r>
        <w:rPr>
          <w:rFonts w:ascii="Google Sans" w:hAnsi="Google Sans"/>
          <w:b/>
          <w:color w:val="646464"/>
          <w:sz w:val="22"/>
        </w:rPr>
        <w:t>Disaster recovery</w:t>
      </w:r>
      <w:r>
        <w:rPr>
          <w:rFonts w:ascii="Google Sans" w:hAnsi="Google Sans"/>
          <w:color w:val="646464"/>
          <w:sz w:val="22"/>
        </w:rPr>
        <w:t xml:space="preserve"> — a full offline copy of archived data is available if ever needed</w:t>
      </w:r>
    </w:p>
    <w:p>
      <w:pPr>
        <w:spacing w:after="40"/>
        <w:ind w:left="504" w:hanging="288"/>
      </w:pPr>
      <w:r>
        <w:rPr>
          <w:rFonts w:ascii="Google Sans" w:hAnsi="Google Sans"/>
          <w:color w:val="646464"/>
          <w:sz w:val="22"/>
        </w:rPr>
        <w:t xml:space="preserve">• </w:t>
      </w:r>
      <w:r>
        <w:rPr>
          <w:rFonts w:ascii="Google Sans" w:hAnsi="Google Sans"/>
          <w:b/>
          <w:color w:val="646464"/>
          <w:sz w:val="22"/>
        </w:rPr>
        <w:t>Ad-hoc forensics</w:t>
      </w:r>
      <w:r>
        <w:rPr>
          <w:rFonts w:ascii="Google Sans" w:hAnsi="Google Sans"/>
          <w:color w:val="646464"/>
          <w:sz w:val="22"/>
        </w:rPr>
        <w:t xml:space="preserve"> — if a specific archived lead needs to be inspected, an engineer can manually download the file(s) from MinIO and read them locally (e.g., using DuckDB for Parquet, or any spreadsheet tool for CSV)</w:t>
      </w:r>
    </w:p>
    <w:tbl>
      <w:tblPr>
        <w:tblW w:type="auto" w:w="0"/>
        <w:tblLook w:firstColumn="1" w:firstRow="1" w:lastColumn="0" w:lastRow="0" w:noHBand="0" w:noVBand="1" w:val="04A0"/>
        <w:tblBorders>
          <w:top w:val="none" w:sz="0" w:space="0" w:color="auto"/>
          <w:left w:val="single" w:sz="12" w:space="0" w:color="286E50"/>
          <w:bottom w:val="none" w:sz="0" w:space="0" w:color="auto"/>
          <w:right w:val="none" w:sz="0" w:space="0" w:color="auto"/>
        </w:tblBorders>
      </w:tblPr>
      <w:tblGrid>
        <w:gridCol w:w="8784"/>
      </w:tblGrid>
      <w:tr>
        <w:tc>
          <w:tcPr>
            <w:tcW w:type="dxa" w:w="8784"/>
            <w:shd w:fill="fff8e1"/>
          </w:tcPr>
          <w:p>
            <w:r/>
            <w:r>
              <w:rPr>
                <w:rFonts w:ascii="Google Sans" w:hAnsi="Google Sans"/>
                <w:color w:val="1E5032"/>
                <w:sz w:val="21"/>
              </w:rPr>
              <w:t>There is no automated retrieval pipeline for Parquet or CSV. If an API request hits a lead that was archived to Parquet/CSV, the application returns a 410 Gone response with the archived_at timestamp and archive_format from the manifest. The caller is directed to the operations team for manual retrieval if needed.</w:t>
            </w:r>
          </w:p>
        </w:tc>
      </w:tr>
    </w:tbl>
    <w:p/>
    <w:p>
      <w:pPr>
        <w:spacing w:before="320" w:after="120"/>
      </w:pPr>
      <w:r>
        <w:rPr>
          <w:rFonts w:ascii="Google Sans" w:hAnsi="Google Sans"/>
          <w:b/>
          <w:color w:val="286E50"/>
          <w:sz w:val="28"/>
        </w:rPr>
        <w:t>External PostgreSQL Database — Retrieval via Datalens</w:t>
      </w:r>
    </w:p>
    <w:p>
      <w:pPr>
        <w:spacing w:after="80"/>
      </w:pPr>
      <w:r>
        <w:rPr>
          <w:rFonts w:ascii="Google Sans" w:hAnsi="Google Sans"/>
          <w:b w:val="0"/>
          <w:color w:val="646464"/>
          <w:sz w:val="22"/>
        </w:rPr>
        <w:t xml:space="preserve">When the export target is external_db, archived data lives in a fully queryable Postgres instance and is accessed through </w:t>
      </w:r>
      <w:r>
        <w:rPr>
          <w:rFonts w:ascii="Google Sans" w:hAnsi="Google Sans"/>
          <w:b/>
          <w:color w:val="646464"/>
          <w:sz w:val="22"/>
        </w:rPr>
        <w:t>Datalens</w:t>
      </w:r>
      <w:r>
        <w:rPr>
          <w:rFonts w:ascii="Google Sans" w:hAnsi="Google Sans"/>
          <w:b w:val="0"/>
          <w:color w:val="646464"/>
          <w:sz w:val="22"/>
        </w:rPr>
        <w:t>, our internal tool for data exploration, dashboarding, and ad-hoc SQL queries.</w:t>
      </w:r>
    </w:p>
    <w:p>
      <w:pPr>
        <w:spacing w:before="240" w:after="80"/>
      </w:pPr>
      <w:r>
        <w:rPr>
          <w:rFonts w:ascii="Google Sans" w:hAnsi="Google Sans"/>
          <w:b/>
          <w:color w:val="1E5AA0"/>
          <w:sz w:val="24"/>
        </w:rPr>
        <w:t>How Datalens Connects</w:t>
      </w:r>
    </w:p>
    <w:p>
      <w:pPr>
        <w:spacing w:after="40"/>
        <w:ind w:left="504" w:hanging="288"/>
      </w:pPr>
      <w:r>
        <w:rPr>
          <w:rFonts w:ascii="Google Sans" w:hAnsi="Google Sans"/>
          <w:color w:val="646464"/>
          <w:sz w:val="22"/>
        </w:rPr>
        <w:t xml:space="preserve">• Datalens is configured with a </w:t>
      </w:r>
      <w:r>
        <w:rPr>
          <w:rFonts w:ascii="Google Sans" w:hAnsi="Google Sans"/>
          <w:b/>
          <w:color w:val="646464"/>
          <w:sz w:val="22"/>
        </w:rPr>
        <w:t>read-only connection</w:t>
      </w:r>
      <w:r>
        <w:rPr>
          <w:rFonts w:ascii="Google Sans" w:hAnsi="Google Sans"/>
          <w:color w:val="646464"/>
          <w:sz w:val="22"/>
        </w:rPr>
        <w:t xml:space="preserve"> to the external archive Postgres instance</w:t>
      </w:r>
    </w:p>
    <w:p>
      <w:pPr>
        <w:spacing w:after="40"/>
        <w:ind w:left="504" w:hanging="288"/>
      </w:pPr>
      <w:r>
        <w:rPr>
          <w:rFonts w:ascii="Google Sans" w:hAnsi="Google Sans"/>
          <w:color w:val="646464"/>
          <w:sz w:val="22"/>
        </w:rPr>
        <w:t>• The connection points to the archive schema, giving Datalens users access to all archive tables (archive.leads, archive.lead_documents, archive.payments, etc.)</w:t>
      </w:r>
    </w:p>
    <w:p>
      <w:pPr>
        <w:spacing w:after="40"/>
        <w:ind w:left="504" w:hanging="288"/>
      </w:pPr>
      <w:r>
        <w:rPr>
          <w:rFonts w:ascii="Google Sans" w:hAnsi="Google Sans"/>
          <w:color w:val="646464"/>
          <w:sz w:val="22"/>
        </w:rPr>
        <w:t>• Access is controlled through Datalens's built-in role-based permissions — only authorized teams (compliance, operations, finance) can view archived data</w:t>
      </w:r>
    </w:p>
    <w:p>
      <w:pPr>
        <w:spacing w:before="240" w:after="80"/>
      </w:pPr>
      <w:r>
        <w:rPr>
          <w:rFonts w:ascii="Google Sans" w:hAnsi="Google Sans"/>
          <w:b/>
          <w:color w:val="1E5AA0"/>
          <w:sz w:val="24"/>
        </w:rPr>
        <w:t>Typical Datalens Use Cases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shd w:fill="1e5aa0"/>
          </w:tcPr>
          <w:p>
            <w:r/>
            <w:r>
              <w:rPr>
                <w:rFonts w:ascii="Google Sans" w:hAnsi="Google Sans"/>
                <w:b/>
                <w:color w:val="FFFFFF"/>
                <w:sz w:val="20"/>
              </w:rPr>
              <w:t>Use Case</w:t>
            </w:r>
          </w:p>
        </w:tc>
        <w:tc>
          <w:tcPr>
            <w:tcW w:type="dxa" w:w="4392"/>
            <w:shd w:fill="1e5aa0"/>
          </w:tcPr>
          <w:p>
            <w:r/>
            <w:r>
              <w:rPr>
                <w:rFonts w:ascii="Google Sans" w:hAnsi="Google Sans"/>
                <w:b/>
                <w:color w:val="FFFFFF"/>
                <w:sz w:val="20"/>
              </w:rPr>
              <w:t>How It Works in Datalens</w:t>
            </w:r>
          </w:p>
        </w:tc>
      </w:tr>
      <w:tr>
        <w:tc>
          <w:tcPr>
            <w:tcW w:type="dxa" w:w="4392"/>
          </w:tcPr>
          <w:p>
            <w:r/>
            <w:r>
              <w:rPr>
                <w:rFonts w:ascii="Google Sans" w:hAnsi="Google Sans"/>
                <w:color w:val="000000"/>
                <w:sz w:val="20"/>
              </w:rPr>
              <w:t>Look up a specific archived lead</w:t>
            </w:r>
          </w:p>
        </w:tc>
        <w:tc>
          <w:tcPr>
            <w:tcW w:type="dxa" w:w="4392"/>
          </w:tcPr>
          <w:p>
            <w:r/>
            <w:r>
              <w:rPr>
                <w:rFonts w:ascii="Google Sans" w:hAnsi="Google Sans"/>
                <w:color w:val="000000"/>
                <w:sz w:val="20"/>
              </w:rPr>
              <w:t>SQL query: SELECT * FROM archive.leads WHERE lead_id = 'LEAD-1001'</w:t>
            </w:r>
          </w:p>
        </w:tc>
      </w:tr>
      <w:tr>
        <w:tc>
          <w:tcPr>
            <w:tcW w:type="dxa" w:w="4392"/>
            <w:shd w:fill="f2f7fc"/>
          </w:tcPr>
          <w:p>
            <w:r/>
            <w:r>
              <w:rPr>
                <w:rFonts w:ascii="Google Sans" w:hAnsi="Google Sans"/>
                <w:color w:val="000000"/>
                <w:sz w:val="20"/>
              </w:rPr>
              <w:t>Audit trail for a date range</w:t>
            </w:r>
          </w:p>
        </w:tc>
        <w:tc>
          <w:tcPr>
            <w:tcW w:type="dxa" w:w="4392"/>
            <w:shd w:fill="f2f7fc"/>
          </w:tcPr>
          <w:p>
            <w:r/>
            <w:r>
              <w:rPr>
                <w:rFonts w:ascii="Google Sans" w:hAnsi="Google Sans"/>
                <w:color w:val="000000"/>
                <w:sz w:val="20"/>
              </w:rPr>
              <w:t>SQL query with filter on archived_at column</w:t>
            </w:r>
          </w:p>
        </w:tc>
      </w:tr>
      <w:tr>
        <w:tc>
          <w:tcPr>
            <w:tcW w:type="dxa" w:w="4392"/>
          </w:tcPr>
          <w:p>
            <w:r/>
            <w:r>
              <w:rPr>
                <w:rFonts w:ascii="Google Sans" w:hAnsi="Google Sans"/>
                <w:color w:val="000000"/>
                <w:sz w:val="20"/>
              </w:rPr>
              <w:t>Compliance reporting</w:t>
            </w:r>
          </w:p>
        </w:tc>
        <w:tc>
          <w:tcPr>
            <w:tcW w:type="dxa" w:w="4392"/>
          </w:tcPr>
          <w:p>
            <w:r/>
            <w:r>
              <w:rPr>
                <w:rFonts w:ascii="Google Sans" w:hAnsi="Google Sans"/>
                <w:color w:val="000000"/>
                <w:sz w:val="20"/>
              </w:rPr>
              <w:t>Pre-built Datalens dashboard aggregating archived lead counts, closure reasons, and timelines</w:t>
            </w:r>
          </w:p>
        </w:tc>
      </w:tr>
      <w:tr>
        <w:tc>
          <w:tcPr>
            <w:tcW w:type="dxa" w:w="4392"/>
            <w:shd w:fill="f2f7fc"/>
          </w:tcPr>
          <w:p>
            <w:r/>
            <w:r>
              <w:rPr>
                <w:rFonts w:ascii="Google Sans" w:hAnsi="Google Sans"/>
                <w:color w:val="000000"/>
                <w:sz w:val="20"/>
              </w:rPr>
              <w:t>Finance reconciliation</w:t>
            </w:r>
          </w:p>
        </w:tc>
        <w:tc>
          <w:tcPr>
            <w:tcW w:type="dxa" w:w="4392"/>
            <w:shd w:fill="f2f7fc"/>
          </w:tcPr>
          <w:p>
            <w:r/>
            <w:r>
              <w:rPr>
                <w:rFonts w:ascii="Google Sans" w:hAnsi="Google Sans"/>
                <w:color w:val="000000"/>
                <w:sz w:val="20"/>
              </w:rPr>
              <w:t>Join archive.leads with archive.payments to review payment history for archived leads</w:t>
            </w:r>
          </w:p>
        </w:tc>
      </w:tr>
      <w:tr>
        <w:tc>
          <w:tcPr>
            <w:tcW w:type="dxa" w:w="4392"/>
          </w:tcPr>
          <w:p>
            <w:r/>
            <w:r>
              <w:rPr>
                <w:rFonts w:ascii="Google Sans" w:hAnsi="Google Sans"/>
                <w:color w:val="000000"/>
                <w:sz w:val="20"/>
              </w:rPr>
              <w:t>Bulk export for external auditors</w:t>
            </w:r>
          </w:p>
        </w:tc>
        <w:tc>
          <w:tcPr>
            <w:tcW w:type="dxa" w:w="4392"/>
          </w:tcPr>
          <w:p>
            <w:r/>
            <w:r>
              <w:rPr>
                <w:rFonts w:ascii="Google Sans" w:hAnsi="Google Sans"/>
                <w:color w:val="000000"/>
                <w:sz w:val="20"/>
              </w:rPr>
              <w:t>Datalens CSV export of query results</w:t>
            </w:r>
          </w:p>
        </w:tc>
      </w:tr>
    </w:tbl>
    <w:p/>
    <w:p>
      <w:pPr>
        <w:spacing w:before="240" w:after="80"/>
      </w:pPr>
      <w:r>
        <w:rPr>
          <w:rFonts w:ascii="Google Sans" w:hAnsi="Google Sans"/>
          <w:b/>
          <w:color w:val="1E5AA0"/>
          <w:sz w:val="24"/>
        </w:rPr>
        <w:t>Application API Behavior</w:t>
      </w:r>
    </w:p>
    <w:p>
      <w:pPr>
        <w:spacing w:after="80"/>
      </w:pPr>
      <w:r>
        <w:rPr>
          <w:rFonts w:ascii="Google Sans" w:hAnsi="Google Sans"/>
          <w:b w:val="0"/>
          <w:color w:val="646464"/>
          <w:sz w:val="22"/>
        </w:rPr>
        <w:t>When an API request (e.g., GET /lead/{id}) hits a lead that was archived to the external DB:</w:t>
      </w:r>
    </w:p>
    <w:p>
      <w:pPr>
        <w:spacing w:after="40"/>
        <w:ind w:left="504" w:hanging="360"/>
      </w:pPr>
      <w:r>
        <w:rPr>
          <w:rFonts w:ascii="Google Sans" w:hAnsi="Google Sans"/>
          <w:color w:val="646464"/>
          <w:sz w:val="22"/>
        </w:rPr>
        <w:t>1. Primary Postgres returns no result</w:t>
      </w:r>
    </w:p>
    <w:p>
      <w:pPr>
        <w:spacing w:after="40"/>
        <w:ind w:left="504" w:hanging="360"/>
      </w:pPr>
      <w:r>
        <w:rPr>
          <w:rFonts w:ascii="Google Sans" w:hAnsi="Google Sans"/>
          <w:color w:val="646464"/>
          <w:sz w:val="22"/>
        </w:rPr>
        <w:t>2. The application checks archival_manifest — finds export_target = 'external_db'</w:t>
      </w:r>
    </w:p>
    <w:p>
      <w:pPr>
        <w:spacing w:after="40"/>
        <w:ind w:left="504" w:hanging="360"/>
      </w:pPr>
      <w:r>
        <w:rPr>
          <w:rFonts w:ascii="Google Sans" w:hAnsi="Google Sans"/>
          <w:color w:val="646464"/>
          <w:sz w:val="22"/>
        </w:rPr>
        <w:t>3. The API returns a 301-style redirect response with metadata pointing the caller to Datalens:</w:t>
      </w:r>
    </w:p>
    <w:p>
      <w:pPr>
        <w:spacing w:after="40"/>
        <w:ind w:left="1008" w:hanging="288"/>
      </w:pPr>
      <w:r>
        <w:rPr>
          <w:rFonts w:ascii="Google Sans" w:hAnsi="Google Sans"/>
          <w:color w:val="646464"/>
          <w:sz w:val="22"/>
        </w:rPr>
        <w:t>• archived_at timestamp</w:t>
      </w:r>
    </w:p>
    <w:p>
      <w:pPr>
        <w:spacing w:after="40"/>
        <w:ind w:left="1008" w:hanging="288"/>
      </w:pPr>
      <w:r>
        <w:rPr>
          <w:rFonts w:ascii="Google Sans" w:hAnsi="Google Sans"/>
          <w:color w:val="646464"/>
          <w:sz w:val="22"/>
        </w:rPr>
        <w:t>• archive_location reference</w:t>
      </w:r>
    </w:p>
    <w:p>
      <w:pPr>
        <w:spacing w:after="40"/>
        <w:ind w:left="1008" w:hanging="288"/>
      </w:pPr>
      <w:r>
        <w:rPr>
          <w:rFonts w:ascii="Google Sans" w:hAnsi="Google Sans"/>
          <w:color w:val="646464"/>
          <w:sz w:val="22"/>
        </w:rPr>
        <w:t>• A message indicating the data is available in Datalens for authorized users</w:t>
      </w:r>
    </w:p>
    <w:tbl>
      <w:tblPr>
        <w:tblW w:type="auto" w:w="0"/>
        <w:tblLook w:firstColumn="1" w:firstRow="1" w:lastColumn="0" w:lastRow="0" w:noHBand="0" w:noVBand="1" w:val="04A0"/>
        <w:tblBorders>
          <w:top w:val="none" w:sz="0" w:space="0" w:color="auto"/>
          <w:left w:val="single" w:sz="12" w:space="0" w:color="286E50"/>
          <w:bottom w:val="none" w:sz="0" w:space="0" w:color="auto"/>
          <w:right w:val="none" w:sz="0" w:space="0" w:color="auto"/>
        </w:tblBorders>
      </w:tblPr>
      <w:tblGrid>
        <w:gridCol w:w="8784"/>
      </w:tblGrid>
      <w:tr>
        <w:tc>
          <w:tcPr>
            <w:tcW w:type="dxa" w:w="8784"/>
            <w:shd w:fill="fff8e1"/>
          </w:tcPr>
          <w:p>
            <w:r/>
            <w:r>
              <w:rPr>
                <w:rFonts w:ascii="Google Sans" w:hAnsi="Google Sans"/>
                <w:color w:val="1E5032"/>
                <w:sz w:val="21"/>
              </w:rPr>
              <w:t>The application does NOT proxy queries to the external DB on behalf of API callers. All retrieval for archived data goes through Datalens. This keeps the archival database isolated from production traffic and prevents accidental load on the archive instance.</w:t>
            </w:r>
          </w:p>
        </w:tc>
      </w:tr>
    </w:tbl>
    <w:p/>
    <w:p>
      <w:pPr>
        <w:spacing w:before="480" w:after="160"/>
      </w:pPr>
      <w:r>
        <w:rPr>
          <w:rFonts w:ascii="Google Sans" w:hAnsi="Google Sans"/>
          <w:b/>
          <w:color w:val="1E5AA0"/>
          <w:sz w:val="40"/>
        </w:rPr>
        <w:t>8. Safety Rules and Anti-Patterns</w:t>
      </w:r>
    </w:p>
    <w:p>
      <w:pPr>
        <w:spacing w:before="320" w:after="120"/>
      </w:pPr>
      <w:r>
        <w:rPr>
          <w:rFonts w:ascii="Google Sans" w:hAnsi="Google Sans"/>
          <w:b/>
          <w:color w:val="286E50"/>
          <w:sz w:val="28"/>
        </w:rPr>
        <w:t>The Most Important Safety Rule</w:t>
      </w:r>
    </w:p>
    <w:tbl>
      <w:tblPr>
        <w:tblW w:type="auto" w:w="0"/>
        <w:tblLook w:firstColumn="1" w:firstRow="1" w:lastColumn="0" w:lastRow="0" w:noHBand="0" w:noVBand="1" w:val="04A0"/>
        <w:tblBorders>
          <w:top w:val="none" w:sz="0" w:space="0" w:color="auto"/>
          <w:left w:val="single" w:sz="12" w:space="0" w:color="286E50"/>
          <w:bottom w:val="none" w:sz="0" w:space="0" w:color="auto"/>
          <w:right w:val="none" w:sz="0" w:space="0" w:color="auto"/>
        </w:tblBorders>
      </w:tblPr>
      <w:tblGrid>
        <w:gridCol w:w="8784"/>
      </w:tblGrid>
      <w:tr>
        <w:tc>
          <w:tcPr>
            <w:tcW w:type="dxa" w:w="8784"/>
            <w:shd w:fill="fff8e1"/>
          </w:tcPr>
          <w:p>
            <w:r/>
            <w:r>
              <w:rPr>
                <w:rFonts w:ascii="Google Sans" w:hAnsi="Google Sans"/>
                <w:color w:val="1E5032"/>
                <w:sz w:val="21"/>
              </w:rPr>
              <w:t>Never delete from Postgres and write to MinIO in the same transaction. They are different systems — you cannot atomically commit to both. Always: (1) write to MinIO and verify, (2) write the manifest to Postgres, (3) only then delete from Postgres. If the process dies between steps 2 and 3, the manifest proves the archive exists. The next DAG run skips the write phase and goes straight to deletion.</w:t>
            </w:r>
          </w:p>
        </w:tc>
      </w:tr>
    </w:tbl>
    <w:p/>
    <w:p>
      <w:pPr>
        <w:spacing w:before="320" w:after="120"/>
      </w:pPr>
      <w:r>
        <w:rPr>
          <w:rFonts w:ascii="Google Sans" w:hAnsi="Google Sans"/>
          <w:b/>
          <w:color w:val="286E50"/>
          <w:sz w:val="28"/>
        </w:rPr>
        <w:t>Idempotency Guarantee</w:t>
      </w:r>
    </w:p>
    <w:p>
      <w:pPr>
        <w:spacing w:after="80"/>
      </w:pPr>
      <w:r>
        <w:rPr>
          <w:rFonts w:ascii="Google Sans" w:hAnsi="Google Sans"/>
          <w:b w:val="0"/>
          <w:color w:val="646464"/>
          <w:sz w:val="22"/>
        </w:rPr>
        <w:t>Every task checks the manifest before acting. If a manifest row exists for a lead:</w:t>
      </w:r>
    </w:p>
    <w:p>
      <w:pPr>
        <w:spacing w:after="40"/>
        <w:ind w:left="504" w:hanging="288"/>
      </w:pPr>
      <w:r>
        <w:rPr>
          <w:rFonts w:ascii="Google Sans" w:hAnsi="Google Sans"/>
          <w:color w:val="646464"/>
          <w:sz w:val="22"/>
        </w:rPr>
        <w:t>• write_parquet — skip, file already exists</w:t>
      </w:r>
    </w:p>
    <w:p>
      <w:pPr>
        <w:spacing w:after="40"/>
        <w:ind w:left="504" w:hanging="288"/>
      </w:pPr>
      <w:r>
        <w:rPr>
          <w:rFonts w:ascii="Google Sans" w:hAnsi="Google Sans"/>
          <w:color w:val="646464"/>
          <w:sz w:val="22"/>
        </w:rPr>
        <w:t>• write_archival_manifest — skip, already written</w:t>
      </w:r>
    </w:p>
    <w:p>
      <w:pPr>
        <w:spacing w:after="40"/>
        <w:ind w:left="504" w:hanging="288"/>
      </w:pPr>
      <w:r>
        <w:rPr>
          <w:rFonts w:ascii="Google Sans" w:hAnsi="Google Sans"/>
          <w:color w:val="646464"/>
          <w:sz w:val="22"/>
        </w:rPr>
        <w:t>• delete_in_order — check which tables are already deleted, skip those</w:t>
      </w:r>
    </w:p>
    <w:p>
      <w:pPr>
        <w:spacing w:after="80"/>
      </w:pPr>
      <w:r>
        <w:rPr>
          <w:rFonts w:ascii="Google Sans" w:hAnsi="Google Sans"/>
          <w:b w:val="0"/>
          <w:color w:val="646464"/>
          <w:sz w:val="22"/>
        </w:rPr>
        <w:t>This means the DAG can be re-run at any point without risk of data loss or double-deletion.</w:t>
      </w:r>
    </w:p>
    <w:p>
      <w:pPr>
        <w:spacing w:before="320" w:after="120"/>
      </w:pPr>
      <w:r>
        <w:rPr>
          <w:rFonts w:ascii="Google Sans" w:hAnsi="Google Sans"/>
          <w:b/>
          <w:color w:val="286E50"/>
          <w:sz w:val="28"/>
        </w:rPr>
        <w:t>Common Mistakes to Avoid</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shd w:fill="1e5aa0"/>
          </w:tcPr>
          <w:p>
            <w:r/>
            <w:r>
              <w:rPr>
                <w:rFonts w:ascii="Google Sans" w:hAnsi="Google Sans"/>
                <w:b/>
                <w:color w:val="FFFFFF"/>
                <w:sz w:val="20"/>
              </w:rPr>
              <w:t>Mistake</w:t>
            </w:r>
          </w:p>
        </w:tc>
        <w:tc>
          <w:tcPr>
            <w:tcW w:type="dxa" w:w="4392"/>
            <w:shd w:fill="1e5aa0"/>
          </w:tcPr>
          <w:p>
            <w:r/>
            <w:r>
              <w:rPr>
                <w:rFonts w:ascii="Google Sans" w:hAnsi="Google Sans"/>
                <w:b/>
                <w:color w:val="FFFFFF"/>
                <w:sz w:val="20"/>
              </w:rPr>
              <w:t>Correct approach</w:t>
            </w:r>
          </w:p>
        </w:tc>
      </w:tr>
      <w:tr>
        <w:tc>
          <w:tcPr>
            <w:tcW w:type="dxa" w:w="4392"/>
          </w:tcPr>
          <w:p>
            <w:r/>
            <w:r>
              <w:rPr>
                <w:rFonts w:ascii="Google Sans" w:hAnsi="Google Sans"/>
                <w:color w:val="000000"/>
                <w:sz w:val="20"/>
              </w:rPr>
              <w:t>Deleting and archiving in the same transaction</w:t>
            </w:r>
          </w:p>
        </w:tc>
        <w:tc>
          <w:tcPr>
            <w:tcW w:type="dxa" w:w="4392"/>
          </w:tcPr>
          <w:p>
            <w:r/>
            <w:r>
              <w:rPr>
                <w:rFonts w:ascii="Google Sans" w:hAnsi="Google Sans"/>
                <w:color w:val="000000"/>
                <w:sz w:val="20"/>
              </w:rPr>
              <w:t>Two separate transactions — archive first, verify, then delete</w:t>
            </w:r>
          </w:p>
        </w:tc>
      </w:tr>
      <w:tr>
        <w:tc>
          <w:tcPr>
            <w:tcW w:type="dxa" w:w="4392"/>
            <w:shd w:fill="f2f7fc"/>
          </w:tcPr>
          <w:p>
            <w:r/>
            <w:r>
              <w:rPr>
                <w:rFonts w:ascii="Google Sans" w:hAnsi="Google Sans"/>
                <w:color w:val="000000"/>
                <w:sz w:val="20"/>
              </w:rPr>
              <w:t>One giant file for all leads</w:t>
            </w:r>
          </w:p>
        </w:tc>
        <w:tc>
          <w:tcPr>
            <w:tcW w:type="dxa" w:w="4392"/>
            <w:shd w:fill="f2f7fc"/>
          </w:tcPr>
          <w:p>
            <w:r/>
            <w:r>
              <w:rPr>
                <w:rFonts w:ascii="Google Sans" w:hAnsi="Google Sans"/>
                <w:color w:val="000000"/>
                <w:sz w:val="20"/>
              </w:rPr>
              <w:t>One file per lead (or small batch) for targeted retrieval</w:t>
            </w:r>
          </w:p>
        </w:tc>
      </w:tr>
      <w:tr>
        <w:tc>
          <w:tcPr>
            <w:tcW w:type="dxa" w:w="4392"/>
          </w:tcPr>
          <w:p>
            <w:r/>
            <w:r>
              <w:rPr>
                <w:rFonts w:ascii="Google Sans" w:hAnsi="Google Sans"/>
                <w:color w:val="000000"/>
                <w:sz w:val="20"/>
              </w:rPr>
              <w:t>Not versioning the archive schema</w:t>
            </w:r>
          </w:p>
        </w:tc>
        <w:tc>
          <w:tcPr>
            <w:tcW w:type="dxa" w:w="4392"/>
          </w:tcPr>
          <w:p>
            <w:r/>
            <w:r>
              <w:rPr>
                <w:rFonts w:ascii="Google Sans" w:hAnsi="Google Sans"/>
                <w:color w:val="000000"/>
                <w:sz w:val="20"/>
              </w:rPr>
              <w:t>Stamp schema_version on every envelope</w:t>
            </w:r>
          </w:p>
        </w:tc>
      </w:tr>
      <w:tr>
        <w:tc>
          <w:tcPr>
            <w:tcW w:type="dxa" w:w="4392"/>
            <w:shd w:fill="f2f7fc"/>
          </w:tcPr>
          <w:p>
            <w:r/>
            <w:r>
              <w:rPr>
                <w:rFonts w:ascii="Google Sans" w:hAnsi="Google Sans"/>
                <w:color w:val="000000"/>
                <w:sz w:val="20"/>
              </w:rPr>
              <w:t>Mixing export targets within a single lead</w:t>
            </w:r>
          </w:p>
        </w:tc>
        <w:tc>
          <w:tcPr>
            <w:tcW w:type="dxa" w:w="4392"/>
            <w:shd w:fill="f2f7fc"/>
          </w:tcPr>
          <w:p>
            <w:r/>
            <w:r>
              <w:rPr>
                <w:rFonts w:ascii="Google Sans" w:hAnsi="Google Sans"/>
                <w:color w:val="000000"/>
                <w:sz w:val="20"/>
              </w:rPr>
              <w:t>One lead = one export target. Never split a lead across Parquet and CSV.</w:t>
            </w:r>
          </w:p>
        </w:tc>
      </w:tr>
      <w:tr>
        <w:tc>
          <w:tcPr>
            <w:tcW w:type="dxa" w:w="4392"/>
          </w:tcPr>
          <w:p>
            <w:r/>
            <w:r>
              <w:rPr>
                <w:rFonts w:ascii="Google Sans" w:hAnsi="Google Sans"/>
                <w:color w:val="000000"/>
                <w:sz w:val="20"/>
              </w:rPr>
              <w:t>Using the primary DB as the external archive DB</w:t>
            </w:r>
          </w:p>
        </w:tc>
        <w:tc>
          <w:tcPr>
            <w:tcW w:type="dxa" w:w="4392"/>
          </w:tcPr>
          <w:p>
            <w:r/>
            <w:r>
              <w:rPr>
                <w:rFonts w:ascii="Google Sans" w:hAnsi="Google Sans"/>
                <w:color w:val="000000"/>
                <w:sz w:val="20"/>
              </w:rPr>
              <w:t xml:space="preserve">Always use a </w:t>
            </w:r>
            <w:r>
              <w:rPr>
                <w:rFonts w:ascii="Google Sans" w:hAnsi="Google Sans"/>
                <w:b/>
                <w:color w:val="000000"/>
                <w:sz w:val="20"/>
              </w:rPr>
              <w:t>separate</w:t>
            </w:r>
            <w:r>
              <w:rPr>
                <w:rFonts w:ascii="Google Sans" w:hAnsi="Google Sans"/>
                <w:color w:val="000000"/>
                <w:sz w:val="20"/>
              </w:rPr>
              <w:t xml:space="preserve"> Postgres instance for external DB archival</w:t>
            </w:r>
          </w:p>
        </w:tc>
      </w:tr>
      <w:tr>
        <w:tc>
          <w:tcPr>
            <w:tcW w:type="dxa" w:w="4392"/>
            <w:shd w:fill="f2f7fc"/>
          </w:tcPr>
          <w:p>
            <w:r/>
            <w:r>
              <w:rPr>
                <w:rFonts w:ascii="Google Sans" w:hAnsi="Google Sans"/>
                <w:color w:val="000000"/>
                <w:sz w:val="20"/>
              </w:rPr>
              <w:t>Sharing credentials for external DB in plaintext</w:t>
            </w:r>
          </w:p>
        </w:tc>
        <w:tc>
          <w:tcPr>
            <w:tcW w:type="dxa" w:w="4392"/>
            <w:shd w:fill="f2f7fc"/>
          </w:tcPr>
          <w:p>
            <w:r/>
            <w:r>
              <w:rPr>
                <w:rFonts w:ascii="Google Sans" w:hAnsi="Google Sans"/>
                <w:color w:val="000000"/>
                <w:sz w:val="20"/>
              </w:rPr>
              <w:t>Use Airflow secrets backend (Vault, AWS Secrets Manager)</w:t>
            </w:r>
          </w:p>
        </w:tc>
      </w:tr>
      <w:tr>
        <w:tc>
          <w:tcPr>
            <w:tcW w:type="dxa" w:w="4392"/>
          </w:tcPr>
          <w:p>
            <w:r/>
            <w:r>
              <w:rPr>
                <w:rFonts w:ascii="Google Sans" w:hAnsi="Google Sans"/>
                <w:color w:val="000000"/>
                <w:sz w:val="20"/>
              </w:rPr>
              <w:t>Designing archival without a retrieval plan</w:t>
            </w:r>
          </w:p>
        </w:tc>
        <w:tc>
          <w:tcPr>
            <w:tcW w:type="dxa" w:w="4392"/>
          </w:tcPr>
          <w:p>
            <w:r/>
            <w:r>
              <w:rPr>
                <w:rFonts w:ascii="Google Sans" w:hAnsi="Google Sans"/>
                <w:color w:val="000000"/>
                <w:sz w:val="20"/>
              </w:rPr>
              <w:t>Design the retrieval query on day one for each export target</w:t>
            </w:r>
          </w:p>
        </w:tc>
      </w:tr>
      <w:tr>
        <w:tc>
          <w:tcPr>
            <w:tcW w:type="dxa" w:w="4392"/>
            <w:shd w:fill="f2f7fc"/>
          </w:tcPr>
          <w:p>
            <w:r/>
            <w:r>
              <w:rPr>
                <w:rFonts w:ascii="Google Sans" w:hAnsi="Google Sans"/>
                <w:color w:val="000000"/>
                <w:sz w:val="20"/>
              </w:rPr>
              <w:t>Checking only file size for verification</w:t>
            </w:r>
          </w:p>
        </w:tc>
        <w:tc>
          <w:tcPr>
            <w:tcW w:type="dxa" w:w="4392"/>
            <w:shd w:fill="f2f7fc"/>
          </w:tcPr>
          <w:p>
            <w:r/>
            <w:r>
              <w:rPr>
                <w:rFonts w:ascii="Google Sans" w:hAnsi="Google Sans"/>
                <w:color w:val="000000"/>
                <w:sz w:val="20"/>
              </w:rPr>
              <w:t>Row count + checksum + sample read — all three (for all export targets)</w:t>
            </w:r>
          </w:p>
        </w:tc>
      </w:tr>
    </w:tbl>
    <w:p/>
    <w:p>
      <w:pPr>
        <w:spacing w:before="480" w:after="160"/>
      </w:pPr>
      <w:r>
        <w:rPr>
          <w:rFonts w:ascii="Google Sans" w:hAnsi="Google Sans"/>
          <w:b/>
          <w:color w:val="1E5AA0"/>
          <w:sz w:val="40"/>
        </w:rPr>
        <w:t>9. New Audit Event Types</w:t>
      </w:r>
    </w:p>
    <w:p>
      <w:pPr>
        <w:spacing w:after="80"/>
      </w:pPr>
      <w:r>
        <w:rPr>
          <w:rFonts w:ascii="Google Sans" w:hAnsi="Google Sans"/>
          <w:b w:val="0"/>
          <w:color w:val="646464"/>
          <w:sz w:val="22"/>
        </w:rPr>
        <w:t>The following event types are added to the existing AuditLog event taxonomy defined in the TDD Section 10:</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28"/>
        <w:gridCol w:w="2928"/>
        <w:gridCol w:w="2928"/>
      </w:tblGrid>
      <w:tr>
        <w:tc>
          <w:tcPr>
            <w:tcW w:type="dxa" w:w="2928"/>
            <w:shd w:fill="1e5aa0"/>
          </w:tcPr>
          <w:p>
            <w:r/>
            <w:r>
              <w:rPr>
                <w:rFonts w:ascii="Google Sans" w:hAnsi="Google Sans"/>
                <w:b/>
                <w:color w:val="FFFFFF"/>
                <w:sz w:val="20"/>
              </w:rPr>
              <w:t>Event type</w:t>
            </w:r>
          </w:p>
        </w:tc>
        <w:tc>
          <w:tcPr>
            <w:tcW w:type="dxa" w:w="2928"/>
            <w:shd w:fill="1e5aa0"/>
          </w:tcPr>
          <w:p>
            <w:r/>
            <w:r>
              <w:rPr>
                <w:rFonts w:ascii="Google Sans" w:hAnsi="Google Sans"/>
                <w:b/>
                <w:color w:val="FFFFFF"/>
                <w:sz w:val="20"/>
              </w:rPr>
              <w:t>Triggered when</w:t>
            </w:r>
          </w:p>
        </w:tc>
        <w:tc>
          <w:tcPr>
            <w:tcW w:type="dxa" w:w="2928"/>
            <w:shd w:fill="1e5aa0"/>
          </w:tcPr>
          <w:p>
            <w:r/>
            <w:r>
              <w:rPr>
                <w:rFonts w:ascii="Google Sans" w:hAnsi="Google Sans"/>
                <w:b/>
                <w:color w:val="FFFFFF"/>
                <w:sz w:val="20"/>
              </w:rPr>
              <w:t>Key payload fields</w:t>
            </w:r>
          </w:p>
        </w:tc>
      </w:tr>
      <w:tr>
        <w:tc>
          <w:tcPr>
            <w:tcW w:type="dxa" w:w="2928"/>
          </w:tcPr>
          <w:p>
            <w:r/>
            <w:r>
              <w:rPr>
                <w:rFonts w:ascii="Google Sans" w:hAnsi="Google Sans"/>
                <w:color w:val="000000"/>
                <w:sz w:val="20"/>
              </w:rPr>
              <w:t>ARCHIVAL_STARTED</w:t>
            </w:r>
          </w:p>
        </w:tc>
        <w:tc>
          <w:tcPr>
            <w:tcW w:type="dxa" w:w="2928"/>
          </w:tcPr>
          <w:p>
            <w:r/>
            <w:r>
              <w:rPr>
                <w:rFonts w:ascii="Google Sans" w:hAnsi="Google Sans"/>
                <w:color w:val="000000"/>
                <w:sz w:val="20"/>
              </w:rPr>
              <w:t>DAG begins processing a batch</w:t>
            </w:r>
          </w:p>
        </w:tc>
        <w:tc>
          <w:tcPr>
            <w:tcW w:type="dxa" w:w="2928"/>
          </w:tcPr>
          <w:p>
            <w:r/>
            <w:r>
              <w:rPr>
                <w:rFonts w:ascii="Google Sans" w:hAnsi="Google Sans"/>
                <w:color w:val="000000"/>
                <w:sz w:val="20"/>
              </w:rPr>
              <w:t>batch_size, eligible_count</w:t>
            </w:r>
          </w:p>
        </w:tc>
      </w:tr>
      <w:tr>
        <w:tc>
          <w:tcPr>
            <w:tcW w:type="dxa" w:w="2928"/>
            <w:shd w:fill="f2f7fc"/>
          </w:tcPr>
          <w:p>
            <w:r/>
            <w:r>
              <w:rPr>
                <w:rFonts w:ascii="Google Sans" w:hAnsi="Google Sans"/>
                <w:color w:val="000000"/>
                <w:sz w:val="20"/>
              </w:rPr>
              <w:t>ARCHIVAL_BATCH_COMPLETED</w:t>
            </w:r>
          </w:p>
        </w:tc>
        <w:tc>
          <w:tcPr>
            <w:tcW w:type="dxa" w:w="2928"/>
            <w:shd w:fill="f2f7fc"/>
          </w:tcPr>
          <w:p>
            <w:r/>
            <w:r>
              <w:rPr>
                <w:rFonts w:ascii="Google Sans" w:hAnsi="Google Sans"/>
                <w:color w:val="000000"/>
                <w:sz w:val="20"/>
              </w:rPr>
              <w:t>One export batch written and verified</w:t>
            </w:r>
          </w:p>
        </w:tc>
        <w:tc>
          <w:tcPr>
            <w:tcW w:type="dxa" w:w="2928"/>
            <w:shd w:fill="f2f7fc"/>
          </w:tcPr>
          <w:p>
            <w:r/>
            <w:r>
              <w:rPr>
                <w:rFonts w:ascii="Google Sans" w:hAnsi="Google Sans"/>
                <w:color w:val="000000"/>
                <w:sz w:val="20"/>
              </w:rPr>
              <w:t>export_target, file_path or db_reference, row_counts, checksum, schema_version</w:t>
            </w:r>
          </w:p>
        </w:tc>
      </w:tr>
      <w:tr>
        <w:tc>
          <w:tcPr>
            <w:tcW w:type="dxa" w:w="2928"/>
          </w:tcPr>
          <w:p>
            <w:r/>
            <w:r>
              <w:rPr>
                <w:rFonts w:ascii="Google Sans" w:hAnsi="Google Sans"/>
                <w:color w:val="000000"/>
                <w:sz w:val="20"/>
              </w:rPr>
              <w:t>ARCHIVAL_VERIFIED</w:t>
            </w:r>
          </w:p>
        </w:tc>
        <w:tc>
          <w:tcPr>
            <w:tcW w:type="dxa" w:w="2928"/>
          </w:tcPr>
          <w:p>
            <w:r/>
            <w:r>
              <w:rPr>
                <w:rFonts w:ascii="Google Sans" w:hAnsi="Google Sans"/>
                <w:color w:val="000000"/>
                <w:sz w:val="20"/>
              </w:rPr>
              <w:t>Staging verification passes</w:t>
            </w:r>
          </w:p>
        </w:tc>
        <w:tc>
          <w:tcPr>
            <w:tcW w:type="dxa" w:w="2928"/>
          </w:tcPr>
          <w:p>
            <w:r/>
            <w:r>
              <w:rPr>
                <w:rFonts w:ascii="Google Sans" w:hAnsi="Google Sans"/>
                <w:color w:val="000000"/>
                <w:sz w:val="20"/>
              </w:rPr>
              <w:t>export_target, checksum_match, row_count_match</w:t>
            </w:r>
          </w:p>
        </w:tc>
      </w:tr>
      <w:tr>
        <w:tc>
          <w:tcPr>
            <w:tcW w:type="dxa" w:w="2928"/>
            <w:shd w:fill="f2f7fc"/>
          </w:tcPr>
          <w:p>
            <w:r/>
            <w:r>
              <w:rPr>
                <w:rFonts w:ascii="Google Sans" w:hAnsi="Google Sans"/>
                <w:color w:val="000000"/>
                <w:sz w:val="20"/>
              </w:rPr>
              <w:t>ARCHIVAL_DELETION_COMPLETED</w:t>
            </w:r>
          </w:p>
        </w:tc>
        <w:tc>
          <w:tcPr>
            <w:tcW w:type="dxa" w:w="2928"/>
            <w:shd w:fill="f2f7fc"/>
          </w:tcPr>
          <w:p>
            <w:r/>
            <w:r>
              <w:rPr>
                <w:rFonts w:ascii="Google Sans" w:hAnsi="Google Sans"/>
                <w:color w:val="000000"/>
                <w:sz w:val="20"/>
              </w:rPr>
              <w:t>Postgres rows deleted</w:t>
            </w:r>
          </w:p>
        </w:tc>
        <w:tc>
          <w:tcPr>
            <w:tcW w:type="dxa" w:w="2928"/>
            <w:shd w:fill="f2f7fc"/>
          </w:tcPr>
          <w:p>
            <w:r/>
            <w:r>
              <w:rPr>
                <w:rFonts w:ascii="Google Sans" w:hAnsi="Google Sans"/>
                <w:color w:val="000000"/>
                <w:sz w:val="20"/>
              </w:rPr>
              <w:t>entity_id, tables_affected, rows_deleted</w:t>
            </w:r>
          </w:p>
        </w:tc>
      </w:tr>
      <w:tr>
        <w:tc>
          <w:tcPr>
            <w:tcW w:type="dxa" w:w="2928"/>
          </w:tcPr>
          <w:p>
            <w:r/>
            <w:r>
              <w:rPr>
                <w:rFonts w:ascii="Google Sans" w:hAnsi="Google Sans"/>
                <w:color w:val="000000"/>
                <w:sz w:val="20"/>
              </w:rPr>
              <w:t>ARCHIVAL_FAILED</w:t>
            </w:r>
          </w:p>
        </w:tc>
        <w:tc>
          <w:tcPr>
            <w:tcW w:type="dxa" w:w="2928"/>
          </w:tcPr>
          <w:p>
            <w:r/>
            <w:r>
              <w:rPr>
                <w:rFonts w:ascii="Google Sans" w:hAnsi="Google Sans"/>
                <w:color w:val="000000"/>
                <w:sz w:val="20"/>
              </w:rPr>
              <w:t>Any phase fails</w:t>
            </w:r>
          </w:p>
        </w:tc>
        <w:tc>
          <w:tcPr>
            <w:tcW w:type="dxa" w:w="2928"/>
          </w:tcPr>
          <w:p>
            <w:r/>
            <w:r>
              <w:rPr>
                <w:rFonts w:ascii="Google Sans" w:hAnsi="Google Sans"/>
                <w:color w:val="000000"/>
                <w:sz w:val="20"/>
              </w:rPr>
              <w:t>phase, export_target, error, entity_id</w:t>
            </w:r>
          </w:p>
        </w:tc>
      </w:tr>
      <w:tr>
        <w:tc>
          <w:tcPr>
            <w:tcW w:type="dxa" w:w="2928"/>
            <w:shd w:fill="f2f7fc"/>
          </w:tcPr>
          <w:p>
            <w:r/>
            <w:r>
              <w:rPr>
                <w:rFonts w:ascii="Google Sans" w:hAnsi="Google Sans"/>
                <w:color w:val="000000"/>
                <w:sz w:val="20"/>
              </w:rPr>
              <w:t>ARCHIVAL_SKIPPED</w:t>
            </w:r>
          </w:p>
        </w:tc>
        <w:tc>
          <w:tcPr>
            <w:tcW w:type="dxa" w:w="2928"/>
            <w:shd w:fill="f2f7fc"/>
          </w:tcPr>
          <w:p>
            <w:r/>
            <w:r>
              <w:rPr>
                <w:rFonts w:ascii="Google Sans" w:hAnsi="Google Sans"/>
                <w:color w:val="000000"/>
                <w:sz w:val="20"/>
              </w:rPr>
              <w:t>Lead skipped due to blocking relationship</w:t>
            </w:r>
          </w:p>
        </w:tc>
        <w:tc>
          <w:tcPr>
            <w:tcW w:type="dxa" w:w="2928"/>
            <w:shd w:fill="f2f7fc"/>
          </w:tcPr>
          <w:p>
            <w:r/>
            <w:r>
              <w:rPr>
                <w:rFonts w:ascii="Google Sans" w:hAnsi="Google Sans"/>
                <w:color w:val="000000"/>
                <w:sz w:val="20"/>
              </w:rPr>
              <w:t>entity_id, reason</w:t>
            </w:r>
          </w:p>
        </w:tc>
      </w:tr>
    </w:tbl>
    <w:p/>
    <w:p>
      <w:pPr>
        <w:spacing w:before="480" w:after="160"/>
      </w:pPr>
      <w:r>
        <w:rPr>
          <w:rFonts w:ascii="Google Sans" w:hAnsi="Google Sans"/>
          <w:b/>
          <w:color w:val="1E5AA0"/>
          <w:sz w:val="40"/>
        </w:rPr>
        <w:t>10. Open Questions and Next Steps</w:t>
      </w:r>
    </w:p>
    <w:p>
      <w:pPr>
        <w:spacing w:before="320" w:after="120"/>
      </w:pPr>
      <w:r>
        <w:rPr>
          <w:rFonts w:ascii="Google Sans" w:hAnsi="Google Sans"/>
          <w:b/>
          <w:color w:val="286E50"/>
          <w:sz w:val="28"/>
        </w:rPr>
        <w:t>Decisions Required</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28"/>
        <w:gridCol w:w="2928"/>
        <w:gridCol w:w="2928"/>
      </w:tblGrid>
      <w:tr>
        <w:tc>
          <w:tcPr>
            <w:tcW w:type="dxa" w:w="2928"/>
            <w:shd w:fill="1e5aa0"/>
          </w:tcPr>
          <w:p>
            <w:r/>
            <w:r>
              <w:rPr>
                <w:rFonts w:ascii="Google Sans" w:hAnsi="Google Sans"/>
                <w:b/>
                <w:color w:val="FFFFFF"/>
                <w:sz w:val="20"/>
              </w:rPr>
              <w:t>Question</w:t>
            </w:r>
          </w:p>
        </w:tc>
        <w:tc>
          <w:tcPr>
            <w:tcW w:type="dxa" w:w="2928"/>
            <w:shd w:fill="1e5aa0"/>
          </w:tcPr>
          <w:p>
            <w:r/>
            <w:r>
              <w:rPr>
                <w:rFonts w:ascii="Google Sans" w:hAnsi="Google Sans"/>
                <w:b/>
                <w:color w:val="FFFFFF"/>
                <w:sz w:val="20"/>
              </w:rPr>
              <w:t>Options</w:t>
            </w:r>
          </w:p>
        </w:tc>
        <w:tc>
          <w:tcPr>
            <w:tcW w:type="dxa" w:w="2928"/>
            <w:shd w:fill="1e5aa0"/>
          </w:tcPr>
          <w:p>
            <w:r/>
            <w:r>
              <w:rPr>
                <w:rFonts w:ascii="Google Sans" w:hAnsi="Google Sans"/>
                <w:b/>
                <w:color w:val="FFFFFF"/>
                <w:sz w:val="20"/>
              </w:rPr>
              <w:t>Recommended</w:t>
            </w:r>
          </w:p>
        </w:tc>
      </w:tr>
      <w:tr>
        <w:tc>
          <w:tcPr>
            <w:tcW w:type="dxa" w:w="2928"/>
          </w:tcPr>
          <w:p>
            <w:r/>
            <w:r>
              <w:rPr>
                <w:rFonts w:ascii="Google Sans" w:hAnsi="Google Sans"/>
                <w:color w:val="000000"/>
                <w:sz w:val="20"/>
              </w:rPr>
            </w:r>
            <w:r>
              <w:rPr>
                <w:rFonts w:ascii="Google Sans" w:hAnsi="Google Sans"/>
                <w:b/>
                <w:color w:val="000000"/>
                <w:sz w:val="20"/>
              </w:rPr>
              <w:t>Default export target</w:t>
            </w:r>
            <w:r>
              <w:rPr>
                <w:rFonts w:ascii="Google Sans" w:hAnsi="Google Sans"/>
                <w:color w:val="000000"/>
                <w:sz w:val="20"/>
              </w:rPr>
            </w:r>
          </w:p>
        </w:tc>
        <w:tc>
          <w:tcPr>
            <w:tcW w:type="dxa" w:w="2928"/>
          </w:tcPr>
          <w:p>
            <w:r/>
            <w:r>
              <w:rPr>
                <w:rFonts w:ascii="Google Sans" w:hAnsi="Google Sans"/>
                <w:color w:val="000000"/>
                <w:sz w:val="20"/>
              </w:rPr>
            </w:r>
            <w:r>
              <w:rPr>
                <w:rFonts w:ascii="Google Sans" w:hAnsi="Google Sans"/>
                <w:b/>
                <w:color w:val="000000"/>
                <w:sz w:val="20"/>
              </w:rPr>
              <w:t>Parquet / CSV / External DB</w:t>
            </w:r>
            <w:r>
              <w:rPr>
                <w:rFonts w:ascii="Google Sans" w:hAnsi="Google Sans"/>
                <w:color w:val="000000"/>
                <w:sz w:val="20"/>
              </w:rPr>
            </w:r>
          </w:p>
        </w:tc>
        <w:tc>
          <w:tcPr>
            <w:tcW w:type="dxa" w:w="2928"/>
          </w:tcPr>
          <w:p>
            <w:r/>
            <w:r>
              <w:rPr>
                <w:rFonts w:ascii="Google Sans" w:hAnsi="Google Sans"/>
                <w:color w:val="000000"/>
                <w:sz w:val="20"/>
              </w:rPr>
            </w:r>
            <w:r>
              <w:rPr>
                <w:rFonts w:ascii="Google Sans" w:hAnsi="Google Sans"/>
                <w:b/>
                <w:color w:val="000000"/>
                <w:sz w:val="20"/>
              </w:rPr>
              <w:t>Parquet — best compression and queryability</w:t>
            </w:r>
            <w:r>
              <w:rPr>
                <w:rFonts w:ascii="Google Sans" w:hAnsi="Google Sans"/>
                <w:color w:val="000000"/>
                <w:sz w:val="20"/>
              </w:rPr>
            </w:r>
          </w:p>
        </w:tc>
      </w:tr>
      <w:tr>
        <w:tc>
          <w:tcPr>
            <w:tcW w:type="dxa" w:w="2928"/>
            <w:shd w:fill="f2f7fc"/>
          </w:tcPr>
          <w:p>
            <w:r/>
            <w:r>
              <w:rPr>
                <w:rFonts w:ascii="Google Sans" w:hAnsi="Google Sans"/>
                <w:color w:val="000000"/>
                <w:sz w:val="20"/>
              </w:rPr>
              <w:t>Batch size</w:t>
            </w:r>
          </w:p>
        </w:tc>
        <w:tc>
          <w:tcPr>
            <w:tcW w:type="dxa" w:w="2928"/>
            <w:shd w:fill="f2f7fc"/>
          </w:tcPr>
          <w:p>
            <w:r/>
            <w:r>
              <w:rPr>
                <w:rFonts w:ascii="Google Sans" w:hAnsi="Google Sans"/>
                <w:color w:val="000000"/>
                <w:sz w:val="20"/>
              </w:rPr>
              <w:t>100 / 500 / 1000 per DAG run</w:t>
            </w:r>
          </w:p>
        </w:tc>
        <w:tc>
          <w:tcPr>
            <w:tcW w:type="dxa" w:w="2928"/>
            <w:shd w:fill="f2f7fc"/>
          </w:tcPr>
          <w:p>
            <w:r/>
            <w:r>
              <w:rPr>
                <w:rFonts w:ascii="Google Sans" w:hAnsi="Google Sans"/>
                <w:color w:val="000000"/>
                <w:sz w:val="20"/>
              </w:rPr>
              <w:t>500 — predictable duration</w:t>
            </w:r>
          </w:p>
        </w:tc>
      </w:tr>
      <w:tr>
        <w:tc>
          <w:tcPr>
            <w:tcW w:type="dxa" w:w="2928"/>
          </w:tcPr>
          <w:p>
            <w:r/>
            <w:r>
              <w:rPr>
                <w:rFonts w:ascii="Google Sans" w:hAnsi="Google Sans"/>
                <w:color w:val="000000"/>
                <w:sz w:val="20"/>
              </w:rPr>
              <w:t>File granularity (Parquet/CSV)</w:t>
            </w:r>
          </w:p>
        </w:tc>
        <w:tc>
          <w:tcPr>
            <w:tcW w:type="dxa" w:w="2928"/>
          </w:tcPr>
          <w:p>
            <w:r/>
            <w:r>
              <w:rPr>
                <w:rFonts w:ascii="Google Sans" w:hAnsi="Google Sans"/>
                <w:color w:val="000000"/>
                <w:sz w:val="20"/>
              </w:rPr>
              <w:t>One file per lead vs one file per batch</w:t>
            </w:r>
          </w:p>
        </w:tc>
        <w:tc>
          <w:tcPr>
            <w:tcW w:type="dxa" w:w="2928"/>
          </w:tcPr>
          <w:p>
            <w:r/>
            <w:r>
              <w:rPr>
                <w:rFonts w:ascii="Google Sans" w:hAnsi="Google Sans"/>
                <w:color w:val="000000"/>
                <w:sz w:val="20"/>
              </w:rPr>
              <w:t>One per lead — targeted retrieval</w:t>
            </w:r>
          </w:p>
        </w:tc>
      </w:tr>
      <w:tr>
        <w:tc>
          <w:tcPr>
            <w:tcW w:type="dxa" w:w="2928"/>
            <w:shd w:fill="f2f7fc"/>
          </w:tcPr>
          <w:p>
            <w:r/>
            <w:r>
              <w:rPr>
                <w:rFonts w:ascii="Google Sans" w:hAnsi="Google Sans"/>
                <w:color w:val="000000"/>
                <w:sz w:val="20"/>
              </w:rPr>
              <w:t>Customer row handling</w:t>
            </w:r>
          </w:p>
        </w:tc>
        <w:tc>
          <w:tcPr>
            <w:tcW w:type="dxa" w:w="2928"/>
            <w:shd w:fill="f2f7fc"/>
          </w:tcPr>
          <w:p>
            <w:r/>
            <w:r>
              <w:rPr>
                <w:rFonts w:ascii="Google Sans" w:hAnsi="Google Sans"/>
                <w:color w:val="000000"/>
                <w:sz w:val="20"/>
              </w:rPr>
              <w:t>Never delete / delete when last lead archived</w:t>
            </w:r>
          </w:p>
        </w:tc>
        <w:tc>
          <w:tcPr>
            <w:tcW w:type="dxa" w:w="2928"/>
            <w:shd w:fill="f2f7fc"/>
          </w:tcPr>
          <w:p>
            <w:r/>
            <w:r>
              <w:rPr>
                <w:rFonts w:ascii="Google Sans" w:hAnsi="Google Sans"/>
                <w:color w:val="000000"/>
                <w:sz w:val="20"/>
              </w:rPr>
              <w:t>Never delete — safest option</w:t>
            </w:r>
          </w:p>
        </w:tc>
      </w:tr>
      <w:tr>
        <w:tc>
          <w:tcPr>
            <w:tcW w:type="dxa" w:w="2928"/>
          </w:tcPr>
          <w:p>
            <w:r/>
            <w:r>
              <w:rPr>
                <w:rFonts w:ascii="Google Sans" w:hAnsi="Google Sans"/>
                <w:color w:val="000000"/>
                <w:sz w:val="20"/>
              </w:rPr>
              <w:t>Archive retention</w:t>
            </w:r>
          </w:p>
        </w:tc>
        <w:tc>
          <w:tcPr>
            <w:tcW w:type="dxa" w:w="2928"/>
          </w:tcPr>
          <w:p>
            <w:r/>
            <w:r>
              <w:rPr>
                <w:rFonts w:ascii="Google Sans" w:hAnsi="Google Sans"/>
                <w:color w:val="000000"/>
                <w:sz w:val="20"/>
              </w:rPr>
              <w:t>5 years / 7 years / indefinite</w:t>
            </w:r>
          </w:p>
        </w:tc>
        <w:tc>
          <w:tcPr>
            <w:tcW w:type="dxa" w:w="2928"/>
          </w:tcPr>
          <w:p>
            <w:r/>
            <w:r>
              <w:rPr>
                <w:rFonts w:ascii="Google Sans" w:hAnsi="Google Sans"/>
                <w:color w:val="000000"/>
                <w:sz w:val="20"/>
              </w:rPr>
              <w:t>Confirm with compliance team</w:t>
            </w:r>
          </w:p>
        </w:tc>
      </w:tr>
      <w:tr>
        <w:tc>
          <w:tcPr>
            <w:tcW w:type="dxa" w:w="2928"/>
            <w:shd w:fill="f2f7fc"/>
          </w:tcPr>
          <w:p>
            <w:r/>
            <w:r>
              <w:rPr>
                <w:rFonts w:ascii="Google Sans" w:hAnsi="Google Sans"/>
                <w:color w:val="000000"/>
                <w:sz w:val="20"/>
              </w:rPr>
              <w:t>Retrieval SLA</w:t>
            </w:r>
          </w:p>
        </w:tc>
        <w:tc>
          <w:tcPr>
            <w:tcW w:type="dxa" w:w="2928"/>
            <w:shd w:fill="f2f7fc"/>
          </w:tcPr>
          <w:p>
            <w:r/>
            <w:r>
              <w:rPr>
                <w:rFonts w:ascii="Google Sans" w:hAnsi="Google Sans"/>
                <w:color w:val="000000"/>
                <w:sz w:val="20"/>
              </w:rPr>
              <w:t>Best effort (days) / guaranteed (hours)</w:t>
            </w:r>
          </w:p>
        </w:tc>
        <w:tc>
          <w:tcPr>
            <w:tcW w:type="dxa" w:w="2928"/>
            <w:shd w:fill="f2f7fc"/>
          </w:tcPr>
          <w:p>
            <w:r/>
            <w:r>
              <w:rPr>
                <w:rFonts w:ascii="Google Sans" w:hAnsi="Google Sans"/>
                <w:color w:val="000000"/>
                <w:sz w:val="20"/>
              </w:rPr>
              <w:t>Confirm with business</w:t>
            </w:r>
          </w:p>
        </w:tc>
      </w:tr>
      <w:tr>
        <w:tc>
          <w:tcPr>
            <w:tcW w:type="dxa" w:w="2928"/>
          </w:tcPr>
          <w:p>
            <w:r/>
            <w:r>
              <w:rPr>
                <w:rFonts w:ascii="Google Sans" w:hAnsi="Google Sans"/>
                <w:color w:val="000000"/>
                <w:sz w:val="20"/>
              </w:rPr>
              <w:t>External DB instance provisioning</w:t>
            </w:r>
          </w:p>
        </w:tc>
        <w:tc>
          <w:tcPr>
            <w:tcW w:type="dxa" w:w="2928"/>
          </w:tcPr>
          <w:p>
            <w:r/>
            <w:r>
              <w:rPr>
                <w:rFonts w:ascii="Google Sans" w:hAnsi="Google Sans"/>
                <w:color w:val="000000"/>
                <w:sz w:val="20"/>
              </w:rPr>
              <w:t>Shared archive cluster / dedicated per-service</w:t>
            </w:r>
          </w:p>
        </w:tc>
        <w:tc>
          <w:tcPr>
            <w:tcW w:type="dxa" w:w="2928"/>
          </w:tcPr>
          <w:p>
            <w:r/>
            <w:r>
              <w:rPr>
                <w:rFonts w:ascii="Google Sans" w:hAnsi="Google Sans"/>
                <w:color w:val="000000"/>
                <w:sz w:val="20"/>
              </w:rPr>
              <w:t>Dedicated — isolation and independent scaling</w:t>
            </w:r>
          </w:p>
        </w:tc>
      </w:tr>
      <w:tr>
        <w:tc>
          <w:tcPr>
            <w:tcW w:type="dxa" w:w="2928"/>
            <w:shd w:fill="f2f7fc"/>
          </w:tcPr>
          <w:p>
            <w:r/>
            <w:r>
              <w:rPr>
                <w:rFonts w:ascii="Google Sans" w:hAnsi="Google Sans"/>
                <w:color w:val="000000"/>
                <w:sz w:val="20"/>
              </w:rPr>
              <w:t>External DB backup strategy</w:t>
            </w:r>
          </w:p>
        </w:tc>
        <w:tc>
          <w:tcPr>
            <w:tcW w:type="dxa" w:w="2928"/>
            <w:shd w:fill="f2f7fc"/>
          </w:tcPr>
          <w:p>
            <w:r/>
            <w:r>
              <w:rPr>
                <w:rFonts w:ascii="Google Sans" w:hAnsi="Google Sans"/>
                <w:color w:val="000000"/>
                <w:sz w:val="20"/>
              </w:rPr>
              <w:t>pg_dump daily / streaming replication / cloud-managed</w:t>
            </w:r>
          </w:p>
        </w:tc>
        <w:tc>
          <w:tcPr>
            <w:tcW w:type="dxa" w:w="2928"/>
            <w:shd w:fill="f2f7fc"/>
          </w:tcPr>
          <w:p>
            <w:r/>
            <w:r>
              <w:rPr>
                <w:rFonts w:ascii="Google Sans" w:hAnsi="Google Sans"/>
                <w:color w:val="000000"/>
                <w:sz w:val="20"/>
              </w:rPr>
              <w:t>Confirm with infra team</w:t>
            </w:r>
          </w:p>
        </w:tc>
      </w:tr>
      <w:tr>
        <w:tc>
          <w:tcPr>
            <w:tcW w:type="dxa" w:w="2928"/>
          </w:tcPr>
          <w:p>
            <w:r/>
            <w:r>
              <w:rPr>
                <w:rFonts w:ascii="Google Sans" w:hAnsi="Google Sans"/>
                <w:color w:val="000000"/>
                <w:sz w:val="20"/>
              </w:rPr>
              <w:t>CSV JSONB handling</w:t>
            </w:r>
          </w:p>
        </w:tc>
        <w:tc>
          <w:tcPr>
            <w:tcW w:type="dxa" w:w="2928"/>
          </w:tcPr>
          <w:p>
            <w:r/>
            <w:r>
              <w:rPr>
                <w:rFonts w:ascii="Google Sans" w:hAnsi="Google Sans"/>
                <w:color w:val="000000"/>
                <w:sz w:val="20"/>
              </w:rPr>
              <w:t>Serialize as escaped JSON string / flatten to columns</w:t>
            </w:r>
          </w:p>
        </w:tc>
        <w:tc>
          <w:tcPr>
            <w:tcW w:type="dxa" w:w="2928"/>
          </w:tcPr>
          <w:p>
            <w:r/>
            <w:r>
              <w:rPr>
                <w:rFonts w:ascii="Google Sans" w:hAnsi="Google Sans"/>
                <w:color w:val="000000"/>
                <w:sz w:val="20"/>
              </w:rPr>
              <w:t>Escaped JSON string — preserves structure</w:t>
            </w:r>
          </w:p>
        </w:tc>
      </w:tr>
    </w:tbl>
    <w:p/>
    <w:p>
      <w:pPr>
        <w:spacing w:before="320" w:after="120"/>
      </w:pPr>
      <w:r>
        <w:rPr>
          <w:rFonts w:ascii="Google Sans" w:hAnsi="Google Sans"/>
          <w:b/>
          <w:color w:val="286E50"/>
          <w:sz w:val="28"/>
        </w:rPr>
        <w:t>Immediate Next Steps</w:t>
      </w:r>
    </w:p>
    <w:p>
      <w:pPr>
        <w:spacing w:after="40"/>
        <w:ind w:left="504" w:hanging="360"/>
      </w:pPr>
      <w:r>
        <w:rPr>
          <w:rFonts w:ascii="Google Sans" w:hAnsi="Google Sans"/>
          <w:color w:val="646464"/>
          <w:sz w:val="22"/>
        </w:rPr>
        <w:t>1. Confirm 3-month eligibility rule with compliance and business teams</w:t>
      </w:r>
    </w:p>
    <w:p>
      <w:pPr>
        <w:spacing w:after="40"/>
        <w:ind w:left="504" w:hanging="360"/>
      </w:pPr>
      <w:r>
        <w:rPr>
          <w:rFonts w:ascii="Google Sans" w:hAnsi="Google Sans"/>
          <w:color w:val="646464"/>
          <w:sz w:val="22"/>
        </w:rPr>
        <w:t>2. Map full child-table hierarchy for the leads schema (all FK relationships)</w:t>
      </w:r>
    </w:p>
    <w:p>
      <w:pPr>
        <w:spacing w:after="40"/>
        <w:ind w:left="504" w:hanging="360"/>
      </w:pPr>
      <w:r>
        <w:rPr>
          <w:rFonts w:ascii="Google Sans" w:hAnsi="Google Sans"/>
          <w:color w:val="646464"/>
          <w:sz w:val="22"/>
        </w:rPr>
        <w:t>3. Define schema_version strategy and backwards-compatible reader interface</w:t>
      </w:r>
    </w:p>
    <w:p>
      <w:pPr>
        <w:spacing w:after="40"/>
        <w:ind w:left="504" w:hanging="360"/>
      </w:pPr>
      <w:r>
        <w:rPr>
          <w:rFonts w:ascii="Google Sans" w:hAnsi="Google Sans"/>
          <w:color w:val="646464"/>
          <w:sz w:val="22"/>
        </w:rPr>
        <w:t>4. Create archival_manifest table DDL and migration (including export_target and archive_location columns)</w:t>
      </w:r>
    </w:p>
    <w:p>
      <w:pPr>
        <w:spacing w:after="40"/>
        <w:ind w:left="504" w:hanging="360"/>
      </w:pPr>
      <w:r>
        <w:rPr>
          <w:rFonts w:ascii="Google Sans" w:hAnsi="Google Sans"/>
          <w:color w:val="646464"/>
          <w:sz w:val="22"/>
        </w:rPr>
        <w:t>5. Build and test denormalization query for a sample lead in staging</w:t>
      </w:r>
    </w:p>
    <w:p>
      <w:pPr>
        <w:spacing w:after="40"/>
        <w:ind w:left="504" w:hanging="360"/>
      </w:pPr>
      <w:r>
        <w:rPr>
          <w:rFonts w:ascii="Google Sans" w:hAnsi="Google Sans"/>
          <w:color w:val="646464"/>
          <w:sz w:val="22"/>
        </w:rPr>
        <w:t>6. Implement and test Airflow DAG with Parquet export in development environment</w:t>
      </w:r>
    </w:p>
    <w:p>
      <w:pPr>
        <w:spacing w:after="40"/>
        <w:ind w:left="504" w:hanging="360"/>
      </w:pPr>
      <w:r>
        <w:rPr>
          <w:rFonts w:ascii="Google Sans" w:hAnsi="Google Sans"/>
          <w:color w:val="646464"/>
          <w:sz w:val="22"/>
        </w:rPr>
        <w:t>7. Implement CSV export branch and test with sample leads</w:t>
      </w:r>
    </w:p>
    <w:p>
      <w:pPr>
        <w:spacing w:after="40"/>
        <w:ind w:left="504" w:hanging="360"/>
      </w:pPr>
      <w:r>
        <w:rPr>
          <w:rFonts w:ascii="Google Sans" w:hAnsi="Google Sans"/>
          <w:color w:val="646464"/>
          <w:sz w:val="22"/>
        </w:rPr>
        <w:t>8. Provision external Postgres archive instance and create archive schema DDL</w:t>
      </w:r>
    </w:p>
    <w:p>
      <w:pPr>
        <w:spacing w:after="40"/>
        <w:ind w:left="504" w:hanging="360"/>
      </w:pPr>
      <w:r>
        <w:rPr>
          <w:rFonts w:ascii="Google Sans" w:hAnsi="Google Sans"/>
          <w:color w:val="646464"/>
          <w:sz w:val="22"/>
        </w:rPr>
        <w:t>9. Implement external DB export branch — connection management, insert logic, verification</w:t>
      </w:r>
    </w:p>
    <w:p>
      <w:pPr>
        <w:spacing w:after="40"/>
        <w:ind w:left="504" w:hanging="360"/>
      </w:pPr>
      <w:r>
        <w:rPr>
          <w:rFonts w:ascii="Google Sans" w:hAnsi="Google Sans"/>
          <w:color w:val="646464"/>
          <w:sz w:val="22"/>
        </w:rPr>
        <w:t>10. Build unified query router that dispatches retrieval based on export_target in manifest</w:t>
      </w:r>
    </w:p>
    <w:p>
      <w:pPr>
        <w:spacing w:after="40"/>
        <w:ind w:left="504" w:hanging="360"/>
      </w:pPr>
      <w:r>
        <w:rPr>
          <w:rFonts w:ascii="Google Sans" w:hAnsi="Google Sans"/>
          <w:color w:val="646464"/>
          <w:sz w:val="22"/>
        </w:rPr>
        <w:t>11. Load test: measure primary Postgres performance before and after first archival run</w:t>
      </w:r>
    </w:p>
    <w:p>
      <w:pPr>
        <w:spacing w:after="40"/>
        <w:ind w:left="504" w:hanging="360"/>
      </w:pPr>
      <w:r>
        <w:rPr>
          <w:rFonts w:ascii="Google Sans" w:hAnsi="Google Sans"/>
          <w:color w:val="646464"/>
          <w:sz w:val="22"/>
        </w:rPr>
        <w:t>12. Load test: measure external DB query performance under expected archive volume</w:t>
      </w:r>
    </w:p>
    <w:p/>
    <w:p>
      <w:r>
        <w:rPr>
          <w:rFonts w:ascii="Google Sans" w:hAnsi="Google Sans"/>
          <w:i/>
          <w:color w:val="828282"/>
          <w:sz w:val="19"/>
        </w:rPr>
        <w:t>Document prepared for internal engineering review. All decisions subject to compliance and business approval.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