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5309"/>
        </w:rPr>
        <w:t>EDUCATIONAL ONLY — NOT FINANCIAL ADVICE</w:t>
      </w:r>
    </w:p>
    <w:p>
      <w:pPr>
        <w:pStyle w:val="Title"/>
      </w:pPr>
      <w:r>
        <w:t>Interview Cheat Sheet</w:t>
      </w:r>
    </w:p>
    <w:p>
      <w:r>
        <w:t>Test metrics: AUC 0.5010, Acc 53.75%, Prec 53.77%</w:t>
      </w:r>
    </w:p>
    <w:p>
      <w:pPr>
        <w:pStyle w:val="Heading2"/>
      </w:pPr>
      <w:r>
        <w:t>60-second pitch?</w:t>
      </w:r>
    </w:p>
    <w:p>
      <w:r>
        <w:t>ML stock analyser: CatBoost predicts 10-day direction from price, VIX, sentiment. Agents blend ML+trend+risk by horizon. FastAPI+Gradio+Docker+CI. Honest disclaimers.</w:t>
      </w:r>
    </w:p>
    <w:p>
      <w:pPr>
        <w:pStyle w:val="Heading2"/>
      </w:pPr>
      <w:r>
        <w:t>Why CatBoost?</w:t>
      </w:r>
    </w:p>
    <w:p>
      <w:r>
        <w:t>Strong tabular defaults, .cbm export, early stopping, handles mixed features.</w:t>
      </w:r>
    </w:p>
    <w:p>
      <w:pPr>
        <w:pStyle w:val="Heading2"/>
      </w:pPr>
      <w:r>
        <w:t>Why 10-day horizon?</w:t>
      </w:r>
    </w:p>
    <w:p>
      <w:r>
        <w:t>1-day is noise; 10 sessions balances signal vs label count for 32 tickers.</w:t>
      </w:r>
    </w:p>
    <w:p>
      <w:pPr>
        <w:pStyle w:val="Heading2"/>
      </w:pPr>
      <w:r>
        <w:t>Dual-path sentiment?</w:t>
      </w:r>
    </w:p>
    <w:p>
      <w:r>
        <w:t>Train on reproducible proxy; inference uses live GDELT — standard train/serve split.</w:t>
      </w:r>
    </w:p>
    <w:p>
      <w:pPr>
        <w:pStyle w:val="Heading2"/>
      </w:pPr>
      <w:r>
        <w:t>How prevent overfitting?</w:t>
      </w:r>
    </w:p>
    <w:p>
      <w:r>
        <w:t>Per-ticker chronological split, val early stopping, winsorization, threshold on val only, compare train/val/test AUC in overfitting_report.json.</w:t>
      </w:r>
    </w:p>
    <w:p>
      <w:pPr>
        <w:pStyle w:val="Heading2"/>
      </w:pPr>
      <w:r>
        <w:t>Is fast training suspicious?</w:t>
      </w:r>
    </w:p>
    <w:p>
      <w:r>
        <w:t>No — ~55k rows + CatBoost early stop finishes in minutes. Check val vs test AUC gap, not wall-clock time.</w:t>
      </w:r>
    </w:p>
    <w:p>
      <w:pPr>
        <w:pStyle w:val="Heading2"/>
      </w:pPr>
      <w:r>
        <w:t>Trading days vs calendar?</w:t>
      </w:r>
    </w:p>
    <w:p>
      <w:r>
        <w:t>252 sessions ≈ 1 year of market activity, not 252 calendar days.</w:t>
      </w:r>
    </w:p>
    <w:p>
      <w:pPr>
        <w:pStyle w:val="Heading2"/>
      </w:pPr>
      <w:r>
        <w:t>Limitations?</w:t>
      </w:r>
    </w:p>
    <w:p>
      <w:r>
        <w:t>AUC ~0.50, not financial advice, long horizons are trend-only.</w:t>
      </w:r>
    </w:p>
    <w:p>
      <w:pPr>
        <w:pStyle w:val="Heading2"/>
      </w:pPr>
      <w:r>
        <w:t>Why not LSTM in production?</w:t>
      </w:r>
    </w:p>
    <w:p>
      <w:r>
        <w:t>CatBoost simpler to deploy (.cbm), faster inference; LSTM in research pipeline.</w:t>
      </w:r>
    </w:p>
    <w:p>
      <w:pPr>
        <w:pStyle w:val="Heading2"/>
      </w:pPr>
      <w:r>
        <w:t>Data leakage prevention?</w:t>
      </w:r>
    </w:p>
    <w:p>
      <w:r>
        <w:t>Chronological per-ticker split, backward-only features, walk-forward backtest.</w:t>
      </w:r>
    </w:p>
    <w:p>
      <w:pPr>
        <w:pStyle w:val="Heading1"/>
      </w:pPr>
      <w:r>
        <w:t>Overfitting check summary</w:t>
      </w:r>
    </w:p>
    <w:p>
      <w:r>
        <w:t>Train AUC (0.5727) exceeds validation AUC (0.5208) by 0.0518 — monitor generalization.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