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66"/>
      </w:pPr>
      <w:r>
        <w:rPr>
          <w:rFonts w:ascii="Helvetica" w:hAnsi="Helvetica" w:cs="Helvetica"/>
          <w:sz w:val="45"/>
          <w:sz-cs w:val="45"/>
          <w:b/>
          <w:spacing w:val="0"/>
          <w:color w:val="0E3D59"/>
        </w:rPr>
        <w:t xml:space="preserve">MCPulse - MCP Server Monitoring &amp; Performance Analytics Platform</w:t>
      </w:r>
    </w:p>
    <w:p>
      <w:pPr>
        <w:jc w:val="both"/>
        <w:spacing w:after="160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A cloud-native observability platform for Model Context Protocol servers, deployed on AWS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/>
      </w:r>
    </w:p>
    <w:p>
      <w:pPr>
        <w:jc w:val="both"/>
        <w:spacing w:after="160"/>
      </w:pPr>
      <w:r>
        <w:rPr>
          <w:rFonts w:ascii="Helvetica" w:hAnsi="Helvetica" w:cs="Helvetica"/>
          <w:sz w:val="24"/>
          <w:sz-cs w:val="24"/>
          <w:i/>
          <w:spacing w:val="0"/>
          <w:color w:val="0E121D"/>
        </w:rPr>
        <w:t xml:space="preserve">Academic project - MCA Semester III, Cloud Computing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33"/>
          <w:sz-cs w:val="33"/>
          <w:b/>
          <w:spacing w:val="0"/>
          <w:color w:val="115F72"/>
        </w:rPr>
        <w:t xml:space="preserve">Abstract</w:t>
      </w:r>
    </w:p>
    <w:p>
      <w:pPr>
        <w:jc w:val="both"/>
        <w:spacing w:after="160"/>
      </w:pP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Model Context Protocol (MCP) servers are becoming a standard interface for AI agents, but they are typically deployed as a black box: an agent either gets a tool response or it does not, and there is no record of how the server was behaving a minute ago. 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MCPulse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 is a monitoring and analytics platform for remotely reachable MCP servers. It actively probes each registered endpoint with the MCP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initialize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 handshake, measures the real round-trip latency, persists every observation to a relational database, raises incidents after repeated failures, resolves them automatically on recovery, discovers the tool catalogue of each server, and presents the result as a live dashboard with an evidence-based diagnostics report.</w:t>
      </w:r>
    </w:p>
    <w:p>
      <w:pPr>
        <w:jc w:val="both"/>
        <w:spacing w:after="160"/>
      </w:pP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The platform is deployed end to end on 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Amazon Web Services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 (EC2 for the application tier, RDS PostgreSQL for persistence, VPC and security groups for network isolation, CloudWatch for observability) and was verified with 1333 recorded checks, live tool discovery against a public MCP server and a complete incident lifecycle. The deployment is reproducible through a set of idempotent scripts and a documented resume/stop workflow for the AWS Academy Learner Lab.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33"/>
          <w:sz-cs w:val="33"/>
          <w:b/>
          <w:spacing w:val="0"/>
          <w:color w:val="115F72"/>
        </w:rPr>
        <w:t xml:space="preserve">1. Problem statement</w:t>
      </w:r>
    </w:p>
    <w:p>
      <w:pPr>
        <w:jc w:val="both"/>
        <w:spacing w:after="160"/>
      </w:pP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MCP servers expose tools to AI agents, yet there is no standard way to answer: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i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i/>
          <w:spacing w:val="0"/>
          <w:color w:val="0E121D"/>
        </w:rPr>
        <w:t xml:space="preserve">Is the server up right now, and how fast is it?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i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i/>
          <w:spacing w:val="0"/>
          <w:color w:val="0E121D"/>
        </w:rPr>
        <w:t xml:space="preserve">When did it start failing, and for how long?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i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i/>
          <w:spacing w:val="0"/>
          <w:color w:val="0E121D"/>
        </w:rPr>
        <w:t xml:space="preserve">Which tools does it actually expose?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i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i/>
          <w:spacing w:val="0"/>
          <w:color w:val="0E121D"/>
        </w:rPr>
        <w:t xml:space="preserve">Did the failure come from the network, from authentication, or from the server itself?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/>
      </w:r>
    </w:p>
    <w:p>
      <w:pPr>
        <w:jc w:val="both"/>
        <w:spacing w:after="160"/>
      </w:pP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Without this, an integration looks "broken" and debugging starts with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curl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 loops and guesswork.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33"/>
          <w:sz-cs w:val="33"/>
          <w:b/>
          <w:spacing w:val="0"/>
          <w:color w:val="115F72"/>
        </w:rPr>
        <w:t xml:space="preserve">2. Objectives</w:t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FFFFFF"/>
        </w:rPr>
        <w:t xml:space="preserve">#</w:t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FFFFFF"/>
        </w:rPr>
        <w:t xml:space="preserve">Objective</w:t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FFFFFF"/>
        </w:rPr>
        <w:t xml:space="preserve">Where it is realised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O1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Continuously measure availability and latency of registered MCP servers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Scheduler + MCP checker (§4.2)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O2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Persist every observation with a queryable relational model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PostgreSQL schema + migration engine (§4.1)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O3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Detect outages and manage the incident lifecycle automatically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Failure threshold + auto-resolve (§4.3)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O4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Discover and inventory the tools a server exposes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tools/list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 discovery (§4.4)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O5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Explain failures with evidence instead of guesses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Diagnostics report (§4.5)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O6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Deploy the platform on AWS with real isolation, encryption and observability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Cloud architecture (§5)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O7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Make the environment reproducible and cheap for a lab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Automation scripts (§6)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33"/>
          <w:sz-cs w:val="33"/>
          <w:b/>
          <w:spacing w:val="0"/>
          <w:color w:val="115F72"/>
        </w:rPr>
        <w:t xml:space="preserve">3. Scope</w:t>
      </w:r>
    </w:p>
    <w:p>
      <w:pPr>
        <w:jc w:val="both"/>
        <w:spacing w:after="160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In scope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Remotely reachable MCP servers over the Streamable HTTP transport.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Five monitored providers: 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GitHub, Google Drive, Brave Search, Cloudflare, Hugging Face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A responsive web dashboard (React + Vite + Tailwind), an Express/TypeScript API, PostgreSQL persistence and a Docker Compose production stack.</w:t>
      </w:r>
    </w:p>
    <w:p>
      <w:pPr>
        <w:jc w:val="both"/>
        <w:spacing w:after="160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Out of scope (deliberate)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Local stdio-only servers and interception of AI client tool calls.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Self-hosting or installing any third-party MCP server - MCPulse only </w:t>
      </w:r>
      <w:r>
        <w:rPr>
          <w:rFonts w:ascii="Helvetica" w:hAnsi="Helvetica" w:cs="Helvetica"/>
          <w:sz w:val="24"/>
          <w:sz-cs w:val="24"/>
          <w:i/>
          <w:spacing w:val="0"/>
          <w:color w:val="0E121D"/>
        </w:rPr>
        <w:t xml:space="preserve">observes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 endpoints that already exist.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Per-provider credential management (would require a schema change and secret handling for OAuth/PAT material).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33"/>
          <w:sz-cs w:val="33"/>
          <w:b/>
          <w:spacing w:val="0"/>
          <w:color w:val="115F72"/>
        </w:rPr>
        <w:t xml:space="preserve">4. System design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b/>
          <w:spacing w:val="0"/>
          <w:color w:val="144B62"/>
        </w:rPr>
        <w:t xml:space="preserve">4.1 Data model (PostgreSQL 16)</w:t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FFFFFF"/>
        </w:rPr>
        <w:t xml:space="preserve">Table</w:t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FFFFFF"/>
        </w:rPr>
        <w:t xml:space="preserve">Purpose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mcp_servers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Registered endpoints: name, URL, transport, interval, enabled flag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monitoring_checks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One row per probe: timestamp,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duration_ms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, outcome, HTTP status, sanitised error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incidents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Outage lifecycle: open/resolved, start/end timestamps, triggering check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mcp_tools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Discovered tool inventory: name, description, JSON Schema input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tool_test_profiles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Custom tool test inputs and expected validation rules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tool_monitoring_checks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Tool execution latency, outcome and validation result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tool_incidents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Tool-specific failures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schema_migrations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Applied migration history (3 migrations)</w:t>
      </w:r>
    </w:p>
    <w:p>
      <w:pPr>
        <w:jc w:val="both"/>
        <w:spacing w:after="160"/>
      </w:pP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A transactional migration engine applies numbered SQL files, each in its own transaction, and records the applied filename - the history is preserved and re-running is a no-op.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b/>
          <w:spacing w:val="0"/>
          <w:color w:val="144B62"/>
        </w:rPr>
        <w:t xml:space="preserve">4.2 The monitoring engine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A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node-cron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 scheduler evaluates every 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10 seconds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 and starts a check only when the server's configured interval (30-3600 s) is due.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An in-memory lock per server prevents overlapping checks on a slow endpoint.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The checker sends a real MCP JSON-RPC 2.0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initialize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 request with protocol version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2025-03-26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, tracking the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Mcp-Session-Id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 header, and accepts both JSON and request-scoped 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SSE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 responses.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Latency is measured as full round-trip time and stored in milliseconds.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SSRF protection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 blocks loopback, private, carrier-grade-NAT, link-local and cloud metadata destinations, both literally and after DNS resolution, and it is applied </w:t>
      </w:r>
      <w:r>
        <w:rPr>
          <w:rFonts w:ascii="Helvetica" w:hAnsi="Helvetica" w:cs="Helvetica"/>
          <w:sz w:val="24"/>
          <w:sz-cs w:val="24"/>
          <w:i/>
          <w:spacing w:val="0"/>
          <w:color w:val="0E121D"/>
        </w:rPr>
        <w:t xml:space="preserve">before every outbound request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.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b/>
          <w:spacing w:val="0"/>
          <w:color w:val="144B62"/>
        </w:rPr>
        <w:t xml:space="preserve">4.3 Incident lifecycle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1 failure  -&gt;  Degraded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3 consecutive failures  -&gt;  Down  +  incident opened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first success afterwards -&gt;  Healthy  +  incident auto-resolved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b/>
          <w:spacing w:val="0"/>
          <w:color w:val="144B62"/>
        </w:rPr>
        <w:t xml:space="preserve">4.4 Tool discovery and testing</w:t>
      </w:r>
    </w:p>
    <w:p>
      <w:pPr>
        <w:jc w:val="both"/>
        <w:spacing w:after="160"/>
      </w:pP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tools/list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 is sent to a chosen server, the returned catalogue is stored with its JSON Schema, and individual tools can be invoked (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tools/call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) with a measured duration and optional field-level validation rules.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b/>
          <w:spacing w:val="0"/>
          <w:color w:val="144B62"/>
        </w:rPr>
        <w:t xml:space="preserve">4.5 Evidence-based diagnostics</w:t>
      </w:r>
    </w:p>
    <w:p>
      <w:pPr>
        <w:jc w:val="both"/>
        <w:spacing w:after="160"/>
      </w:pP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GET /api/analysis/:id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 separates 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observed facts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 (measured checks, real latency, catalogue size, incident state) from 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hypotheses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 (for example </w:t>
      </w:r>
      <w:r>
        <w:rPr>
          <w:rFonts w:ascii="Helvetica" w:hAnsi="Helvetica" w:cs="Helvetica"/>
          <w:sz w:val="24"/>
          <w:sz-cs w:val="24"/>
          <w:i/>
          <w:spacing w:val="0"/>
          <w:color w:val="0E121D"/>
        </w:rPr>
        <w:t xml:space="preserve">"the endpoint requires a bearer token"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) and ends with concrete 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recommendations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, with the provider-specific reason for a 401 or 403 spelled out.</w:t>
      </w:r>
    </w:p>
    <w:p>
      <w:pPr>
        <w:spacing w:after="106"/>
      </w:pPr>
      <w:r>
        <w:rPr>
          <w:rFonts w:ascii="Helvetica" w:hAnsi="Helvetica" w:cs="Helvetica"/>
          <w:sz w:val="28"/>
          <w:sz-cs w:val="28"/>
          <w:b/>
          <w:spacing w:val="0"/>
          <w:color w:val="144B62"/>
        </w:rPr>
        <w:t xml:space="preserve">4.6 Frontend</w:t>
      </w:r>
    </w:p>
    <w:p>
      <w:pPr>
        <w:jc w:val="both"/>
        <w:spacing w:after="160"/>
      </w:pP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React 19 + Vite + Tailwind v4: live status counts (Healthy / Degraded / Down / Unknown / Disabled), a Recharts latency view, the tool explorer with a manual test trigger, incident list, one-click CSV telemetry export (FR-12) and a dark / off-white theme.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33"/>
          <w:sz-cs w:val="33"/>
          <w:b/>
          <w:spacing w:val="0"/>
          <w:color w:val="115F72"/>
        </w:rPr>
        <w:t xml:space="preserve">5. Cloud architecture (AWS)</w:t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FFFFFF"/>
        </w:rPr>
        <w:t xml:space="preserve">Service</w:t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FFFFFF"/>
        </w:rPr>
        <w:t xml:space="preserve">Role</w:t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FFFFFF"/>
        </w:rPr>
        <w:t xml:space="preserve">Live identifier</w:t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Amazon VPC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 (default)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Network isolation, 6 subnets over 6 AZs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vpc-09e2f7d67772fdfea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Amazon EC2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t3.small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nginx + Node API + scheduler, Docker Compose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i-0059c1813dd3d1ada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 -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54.161.184.121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Amazon RDS PostgreSQL 16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Private persistence, 20 GB gp3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mcpulse-db.cyinxjr3lgjz.us-east-1.rds.amazonaws.com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Security groups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Web tier (80/443 public, 22 single address) and database tier (5432 from the web SG only)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sg-085f461886a0676f7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,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sg-0d74bb805b76e8e0e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CloudWatch Logs / Metrics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Application and host observability, 7-day retention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/mcpulse/…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, namespace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CWAgent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IAM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LabRole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 present but not attachable (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iam:PassRole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 denied)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LabInstanceProfile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D121F"/>
        </w:rPr>
        <w:t xml:space="preserve">Amazon S3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Deliberately not used - the CSV export is produced from the database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-</w:t>
      </w:r>
    </w:p>
    <w:p>
      <w:pPr>
        <w:jc w:val="both"/>
        <w:spacing w:after="160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Data flow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browser   80    nginx     Express API   TLS 5432    RDS PostgreSQL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                          HTTPS 443    the five monitored MCP providers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                            CloudWatch Logs (app + system)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                            CloudWatch Metrics (mem, disk)</w:t>
      </w:r>
    </w:p>
    <w:p>
      <w:pPr>
        <w:jc w:val="both"/>
        <w:spacing w:after="160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Security posture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The database has no public address and accepts connections only from the web security group; RDS rejects unencrypted connections outright.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The API port is published on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127.0.0.1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 only - nginx is the single public entry point.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Every state-changing API call must carry the administrative key.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The SSRF guard rejects metadata and private targets before any request.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No secret is stored in the repository; the database password, the SSH key and the AWS credentials live outside the project tree.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33"/>
          <w:sz-cs w:val="33"/>
          <w:b/>
          <w:spacing w:val="0"/>
          <w:color w:val="115F72"/>
        </w:rPr>
        <w:t xml:space="preserve">6. Reproducibility and lab economics</w:t>
      </w:r>
    </w:p>
    <w:p>
      <w:pPr>
        <w:jc w:val="both"/>
        <w:spacing w:after="160"/>
      </w:pP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Five idempotent scripts make the environment reproducible and cheap:</w:t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FFFFFF"/>
        </w:rPr>
        <w:t xml:space="preserve">Script</w:t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FFFFFF"/>
        </w:rPr>
        <w:t xml:space="preserve">Purpose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audit.sh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Read-only readiness inspection (identity, VPC, resources, permissions)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deploy.sh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Create or update the infrastructure and the application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resume.sh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Restart a stopped deployment after a lab session (database first, then the instance)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stop.sh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Stop the resources to stop the credit burn - deletes nothing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allowlist.sh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Refresh the administrator address after a network change</w:t>
      </w:r>
    </w:p>
    <w:p>
      <w:pPr>
        <w:jc w:val="both"/>
        <w:spacing w:after="160"/>
      </w:pP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Cost: 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≈ $0.18 per four-hour lab session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 (EC2 $0.021/h, RDS $0.017/h, 20 GB gp3, public IPv4) - no load balancer, no NAT gateway, no Multi-AZ, no S3.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33"/>
          <w:sz-cs w:val="33"/>
          <w:b/>
          <w:spacing w:val="0"/>
          <w:color w:val="115F72"/>
        </w:rPr>
        <w:t xml:space="preserve">7. Verification results</w:t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FFFFFF"/>
        </w:rPr>
        <w:t xml:space="preserve">Requirement</w:t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FFFFFF"/>
        </w:rPr>
        <w:t xml:space="preserve">Verification</w:t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FFFFFF"/>
        </w:rPr>
        <w:t xml:space="preserve">Result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Continuous availability and latency monitoring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1333 rows in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monitoring_checks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, written every provider interval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OK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Relational persistence and migration history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3 migrations applied;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schema_migrations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 records them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OK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Outage detection and incident lifecycle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3 consecutive failures -&gt;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Down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 + open incident; recovery -&gt;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Healthy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 + auto-resolve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OK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Tool discovery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4 live tools from the Hugging Face MCP server (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hf_fs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,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hf_whoami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,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hub_repo_details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,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hub_repo_search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)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OK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Telemetry CSV export (FR-12)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364 rows generated on demand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OK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Health and readiness endpoints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/health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 (liveness) and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/health/ready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 (verifies the database)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OK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Database isolation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PubliclyAccessible = false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; unencrypted connections refused by RDS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OK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SSRF protection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Metadata, private and loopback targets rejected with 400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OK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Administrative authorization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Write without the key -&gt; 401; with the key -&gt; success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OK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Authentication-gated providers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GitHub 401, Cloudflare 401, Brave 403 recorded with the exact status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OK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33"/>
          <w:sz-cs w:val="33"/>
          <w:b/>
          <w:spacing w:val="0"/>
          <w:color w:val="115F72"/>
        </w:rPr>
        <w:t xml:space="preserve">8. Challenges encountered and how they were solved</w:t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FFFFFF"/>
        </w:rPr>
        <w:t xml:space="preserve">Challenge</w:t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FFFFFF"/>
        </w:rPr>
        <w:t xml:space="preserve">Resolution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The container build failed: npm workspaces keep the lockfile at the repository root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Build context moved to the repository root with a workspace-aware install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The dashboard called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localhost:3001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 in the visitor's browser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Same-origin API calls plus a Vite dev proxy</w:t>
      </w:r>
    </w:p>
    <w:p>
      <w:pPr/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pg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 silently discards a verified TLS configuration when the URL contains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sslmode=require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The URL is stripped of every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ssl*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 parameter and the CA bundle is enforced explicitly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The SSRF guard existed but was never called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Wired into the registry routes and into every outbound request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macOS AppleDouble files (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._*.sql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) were executed as SQL on the database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The runner ignores hidden files and the transfer strips extended attributes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A multi-statement migration aborted the database transaction and masked the real error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The runner executes statement by statement and reports the exact statement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The lab policy denies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rds:CreateDBInstance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 </w:t>
      </w:r>
      <w:r>
        <w:rPr>
          <w:rFonts w:ascii="Helvetica" w:hAnsi="Helvetica" w:cs="Helvetica"/>
          <w:sz w:val="21"/>
          <w:sz-cs w:val="21"/>
          <w:i/>
          <w:spacing w:val="0"/>
          <w:color w:val="0E121D"/>
        </w:rPr>
        <w:t xml:space="preserve">according to the IAM simulation</w:t>
      </w:r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, but the real API allowed it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Permissions proven by calling the API, not by the simulation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The campus network changes the public address repeatedly</w:t>
      </w:r>
    </w:p>
    <w:p>
      <w:pPr/>
      <w:r>
        <w:rPr>
          <w:rFonts w:ascii="Helvetica" w:hAnsi="Helvetica" w:cs="Helvetica"/>
          <w:sz w:val="21"/>
          <w:sz-cs w:val="21"/>
          <w:spacing w:val="0"/>
          <w:color w:val="0E121D"/>
        </w:rPr>
        <w:t xml:space="preserve">Address allowlist replaced by an administrative key; one script refreshes SSH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33"/>
          <w:sz-cs w:val="33"/>
          <w:b/>
          <w:spacing w:val="0"/>
          <w:color w:val="115F72"/>
        </w:rPr>
        <w:t xml:space="preserve">9. Limitations and future work</w:t>
      </w:r>
    </w:p>
    <w:p>
      <w:pPr>
        <w:jc w:val="both"/>
        <w:spacing w:after="160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Limitations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No per-provider credentials - three of five providers require a token, and MCPulse correctly reports them as failing.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No instance profile in this account, so the CloudWatch agent uses temporary credentials and delivery stops with the lab session.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CloudWatch log events and metric datapoints do not arrive in this account (the agent runs and creates the groups; the API path itself is verified healthy).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The administrative key is compiled into the dashboard bundle, so write operations are protected against casual use rather than against a determined attacker.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The project is not under version control, so the deployment transfers sources with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tar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 over SSH.</w:t>
      </w:r>
    </w:p>
    <w:p>
      <w:pPr>
        <w:jc w:val="both"/>
        <w:spacing w:after="160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Future work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/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OAuth 2.0 / PAT support with encrypted token storage and per-provider headers.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SLO and error-budget reporting with burn-rate alerts on CloudWatch.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Distributed tracing with AWS X-Ray and correlation IDs in the check records.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Automated remediation (restart, failover) driven by incident state.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A Terraform module so the environment is reproducible outside the lab.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33"/>
          <w:sz-cs w:val="33"/>
          <w:b/>
          <w:spacing w:val="0"/>
          <w:color w:val="115F72"/>
        </w:rPr>
        <w:t xml:space="preserve">10. Conclusion</w:t>
      </w:r>
    </w:p>
    <w:p>
      <w:pPr>
        <w:jc w:val="both"/>
        <w:spacing w:after="160"/>
      </w:pP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MCPulse demonstrates the complete path from a monitoring requirement to a running cloud platform: a relational model of the domain, a protocol-aware checker, an automated incident lifecycle, a live dashboard, and a deployment that uses the right AWS service for each concern - compute on EC2, managed persistence on RDS, isolation in the VPC, least-privilege networking with security groups, and observability through CloudWatch - while remaining reproducible and affordable inside a strict lab budget.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33"/>
          <w:sz-cs w:val="33"/>
          <w:b/>
          <w:spacing w:val="0"/>
          <w:color w:val="115F72"/>
        </w:rPr>
        <w:t xml:space="preserve">References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Model Context Protocol specification - protocol version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2025-03-26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, Streamable HTTP transport,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initialize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 /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tools/list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 /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tools/call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AWS Academy Learner Lab environment, account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462854211377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,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us-east-1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AWS documentation: EC2, Amazon RDS for PostgreSQL, Amazon VPC, security groups, Amazon CloudWatch (Logs, Metrics, unified agent).</w:t>
      </w:r>
    </w:p>
    <w:p>
      <w:pPr>
        <w:ind w:left="720" w:first-line="-720"/>
        <w:spacing w:after="66"/>
      </w:pPr>
      <w:r>
        <w:rPr>
          <w:rFonts w:ascii="Helvetica" w:hAnsi="Helvetica" w:cs="Helvetica"/>
          <w:sz w:val="24"/>
          <w:sz-cs w:val="24"/>
          <w:color w:val="0E121D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Project documents: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docs/PROJECT_STATUS_AND_AWS_GUIDE.md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,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docs/AWS_ARCHITECTURE_AND_DATA_FLOW.md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,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docs/DEPLOYMENT_STATUS.md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,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docs/phase-0-decisions.md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, </w:t>
      </w:r>
      <w:r>
        <w:rPr>
          <w:rFonts w:ascii="Courier" w:hAnsi="Courier" w:cs="Courier"/>
          <w:sz w:val="21"/>
          <w:sz-cs w:val="21"/>
          <w:spacing w:val="0"/>
          <w:color w:val="0E121D"/>
        </w:rPr>
        <w:t xml:space="preserve">docs/DEMONSTRATION_GUIDE.md</w:t>
      </w:r>
      <w:r>
        <w:rPr>
          <w:rFonts w:ascii="Helvetica" w:hAnsi="Helvetica" w:cs="Helvetica"/>
          <w:sz w:val="24"/>
          <w:sz-cs w:val="24"/>
          <w:spacing w:val="0"/>
          <w:color w:val="0E121D"/>
        </w:rPr>
        <w:t xml:space="preserve">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