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AeroGrid Wildfire Surveillance</w:t>
      </w:r>
    </w:p>
    <w:p>
      <w:r>
        <w:t>FR-101: The telemetry ingestion engine shall process MAVLink radio packets broadcasting GPS coordinates, altitude, and ground speed every 500 milliseconds.</w:t>
      </w:r>
    </w:p>
    <w:p>
      <w:r>
        <w:t>FR-102: The thermal vision pipeline shall analyze radiometric infrared video frames and dispatch hotspot alert notifications to incident command.</w:t>
      </w:r>
    </w:p>
    <w:p>
      <w:r>
        <w:t>FR-103: The swarm emergency fail-safe module shall allow commanders to command emergency return-to-base RTB for depleted battery drones.</w:t>
      </w:r>
    </w:p>
    <w:p>
      <w:r>
        <w:t>FR-104: The mission flight planning service shall allow dispatchers to withdraw pending drone launch missions.</w:t>
      </w:r>
    </w:p>
    <w:p>
      <w:r>
        <w:t>FR-105: The wildfire modeling engine shall compute projected fire perimeter expansion using Rothermel surface fire equations and terrain elevation grids.</w:t>
      </w:r>
    </w:p>
    <w:p>
      <w:r>
        <w:t>FR-106: The flight plan intake engine shall detect and block duplicate mission waypoint registrations sharing identical airspace corridors.</w:t>
      </w:r>
    </w:p>
    <w:p>
      <w:r>
        <w:t>FR-107: The airspace audit service shall store an immutable queryable history of manual pilot control overrides with cryptographically signed timestamps.</w:t>
      </w:r>
    </w:p>
    <w:p>
      <w:r>
        <w:t>FR-108: The security engine shall enforce RBAC boundaries preventing apprentice ground technicians from authorizing beyond-visual-line-of-sight BVLOS flights.</w:t>
      </w:r>
    </w:p>
    <w:p>
      <w:r>
        <w:t>FR-109: Drone telemetry encryption keys shall be stored using reversible XOR encryption so that ground support staff can debug radio transceivers.</w:t>
      </w:r>
    </w:p>
    <w:p>
      <w:r>
        <w:t>FR-110: The flight anomaly module shall allow pilots to submit airspace hazard reports and attach FLIR thermal imagery exports.</w:t>
      </w:r>
    </w:p>
    <w:p>
      <w:r>
        <w:t>NFR-101: The swarm collision avoidance REST API shall compute vector trajectory clearance within 100 milliseconds under 500 simultaneous drone nodes.</w:t>
      </w:r>
    </w:p>
    <w:p>
      <w:r>
        <w:t>NFR-102: The wildland fire operations dashboard shall maintain 99.99% high availability throughout active wildfire season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