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AeroGrid Wildfire Surveillance</w:t>
      </w:r>
    </w:p>
    <w:p>
      <w:r>
        <w:t>CR-501: Enhance FR-102 to support multi-spectral NDVI vegetation health analysis sensors in addition to thermal infrared cameras.</w:t>
      </w:r>
    </w:p>
    <w:p>
      <w:r>
        <w:t>CR-502: Modify FR-109 to prohibit reversible XOR encryption and mandate salted Argon2id key derivation across all base stations.</w:t>
      </w:r>
    </w:p>
    <w:p>
      <w:r>
        <w:t>CR-503: Extend FR-105 to compute fire spotting probability caused by windborne burning embers and tree bark.</w:t>
      </w:r>
    </w:p>
    <w:p>
      <w:r>
        <w:t>CR-504: Enhance FR-104 to support automated SMS notifications to ground firefighting crews when aerial survey mission is aborted.</w:t>
      </w:r>
    </w:p>
    <w:p>
      <w:r>
        <w:t>CR-505: Update FS-203 to support adaptive RTB landing routing dynamically avoiding active fire plumes and smoke columns.</w:t>
      </w:r>
    </w:p>
    <w:p>
      <w:r>
        <w:t>CR-506: Procure and install 20 motorized ergonomic standing desks for command operations center.</w:t>
      </w:r>
    </w:p>
    <w:p>
      <w:r>
        <w:t>CR-507: Add cafeteria hot lunch weekly ordering module for drone pilots.</w:t>
      </w:r>
    </w:p>
    <w:p>
      <w:r>
        <w:t>CR-508: Add drone battery carbon offset calculation dashboard based on solar charging kilowatt-hours.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