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AeroGrid Wildfire Surveillance</w:t>
      </w:r>
    </w:p>
    <w:p>
      <w:r>
        <w:t>DEC-601: Flight safety committee confirmed that FR-106 flight plan deduplication must enforce 500-meter minimum airspace separation buffers.</w:t>
      </w:r>
    </w:p>
    <w:p>
      <w:r>
        <w:t>DEC-602: Security officer confirmed that FR-109 reversible XOR telemetry encryption violates FAA cybersecurity rules and must be replaced.</w:t>
      </w:r>
    </w:p>
    <w:p>
      <w:r>
        <w:t>DEC-603: Operations team discussed automated night-time retardant air tanker drops but aerial safety guidelines were not determined.</w:t>
      </w:r>
    </w:p>
    <w:p>
      <w:r>
        <w:t>DEC-604: Compliance director confirmed that FR-107 pilot override audit logs must be preserved for 20 years for NTSB safety reviews.</w:t>
      </w:r>
    </w:p>
    <w:p>
      <w:r>
        <w:t>DEC-605: Airspace control board confirmed that FR-108 dual-authorization rules must be enforced before launching BVLOS flights above 400 feet.</w:t>
      </w:r>
    </w:p>
    <w:p>
      <w:r>
        <w:t>DEC-606: QA team agreed that TC-409 collision avoidance tests must benchmark 500 concurrent trajectories on staging cluster.</w:t>
      </w:r>
    </w:p>
    <w:p>
      <w:r>
        <w:t>DEC-607: Operations director decided to procure 20 motorized standing desks for swarm dispatchers.</w:t>
      </w:r>
    </w:p>
    <w:p>
      <w:r>
        <w:t>DEC-608: Avionics committee discussed quantum magnetometer compass sensors for smoke navigation but feasibility research is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