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InsureFlow Claims Platform</w:t>
      </w:r>
    </w:p>
    <w:p>
      <w:r>
        <w:t>BR-001: The InsureFlow platform shall provide an online portal where policyholders can submit First Notice of Loss (FNOL) insurance claims.</w:t>
      </w:r>
    </w:p>
    <w:p>
      <w:r>
        <w:t>BR-002: The system shall calculate automated vehicle damage repair cost estimates based on insurance policy coverage limits and deductible rules.</w:t>
      </w:r>
    </w:p>
    <w:p>
      <w:r>
        <w:t>BR-003: Licensed claims adjusters shall review, appraise, and approve or reject claim reimbursement requests submitted by policyholders.</w:t>
      </w:r>
    </w:p>
    <w:p>
      <w:r>
        <w:t>BR-004: Policyholders shall be able to withdraw or cancel a pending insurance claim before adjuster appraisal finalization.</w:t>
      </w:r>
    </w:p>
    <w:p>
      <w:r>
        <w:t>BR-005: The mobile application shall capture and upload digital photos of vehicle accident damage and repair body shop invoices.</w:t>
      </w:r>
    </w:p>
    <w:p>
      <w:r>
        <w:t>BR-006: The fraud detection engine shall compute perceptual invoice hashes to detect and block duplicate repair invoice claims.</w:t>
      </w:r>
    </w:p>
    <w:p>
      <w:r>
        <w:t>BR-007: Role-based authorization shall enforce strict separation between policyholders, field adjusters, and fraud investigation auditors.</w:t>
      </w:r>
    </w:p>
    <w:p>
      <w:r>
        <w:t>BR-008: Finance staff shall reconcile approved claim settlement payouts against bank disbursement files and ledger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